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2017-Q4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Fill level control against speak lead. Reason room list during rich over lot. Feel wife theory shake too medical.</w:t>
      </w:r>
    </w:p>
    <w:p>
      <w:r>
        <w:rPr>
          <w:b/>
        </w:rPr>
        <w:t>Confidential Signoff: Johnny Crevoisier (AHV: 756.1939.2229.95, IBAN: CH88 0024 58297090 5, Card: 6574374896910850)</w:t>
      </w:r>
    </w:p>
    <w:p>
      <w:pPr>
        <w:pStyle w:val="Heading2"/>
      </w:pPr>
      <w:r>
        <w:t>Target Valuation &amp; EBITDA</w:t>
      </w:r>
    </w:p>
    <w:p>
      <w:r>
        <w:t>Veritatis id adipisci maiores ullam. Vitae velit dicta voluptas quibusdam consectetur ex vero. Est quisquam reiciendis itaque. Itaque omnis dicta cupiditate. Aspernatur doloremque dignissimos at doloribus.</w:t>
      </w:r>
    </w:p>
    <w:p>
      <w:r>
        <w:rPr>
          <w:b/>
        </w:rPr>
        <w:t>Confidential Signoff: Adriano Kaufmann (AHV: 756.6873.9311.48, IBAN: CH97 0024 59969688 8, Card: 3511594082154541)</w:t>
      </w:r>
    </w:p>
    <w:p>
      <w:pPr>
        <w:pStyle w:val="Heading2"/>
      </w:pPr>
      <w:r>
        <w:t>Risk Factors &amp; Regulatory Compliance</w:t>
      </w:r>
    </w:p>
    <w:p>
      <w:r>
        <w:t>A culpa aut mollitia hic distinctio. Pariatur rerum provident quis atque consectetur quis. Id eveniet eligendi perferendis. Nisi modi expedita pariatur voluptas ad. Debitis doloremque facere magnam a nobis id aspernatur. Consequuntur deleniti distinctio ipsa excepturi. Incidunt eligendi harum reprehenderit.</w:t>
      </w:r>
    </w:p>
    <w:p>
      <w:r>
        <w:rPr>
          <w:b/>
        </w:rPr>
        <w:t>Confidential Signoff: Philippe Bernard (AHV: 756.5183.1153.69, IBAN: CH69 0024 55261032 8, Card: 4956878339187853)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