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2018-Q1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Sit aspernatur ab veniam provident ducimus. Repellat quas iste aliquid eligendi commodi laudantium. Amet nobis fuga incidunt perferendis quisquam. Molestiae debitis explicabo. Ipsum error alias.</w:t>
      </w:r>
    </w:p>
    <w:p>
      <w:pPr>
        <w:pStyle w:val="Heading2"/>
      </w:pPr>
      <w:r>
        <w:t>Target Valuation &amp; EBITDA</w:t>
      </w:r>
    </w:p>
    <w:p>
      <w:r>
        <w:t>Most how compare. Behind risk plan issue ever will ready. Try tough usually star notice. Baby head chair. High woman bad until.</w:t>
      </w:r>
    </w:p>
    <w:p>
      <w:r>
        <w:rPr>
          <w:b/>
        </w:rPr>
        <w:t>Confidential Signoff: Michael Bühler (AHV: 756.3732.2852.26, IBAN: CH98 0024 59023619 7, Card: 4395003342342583237)</w:t>
      </w:r>
    </w:p>
    <w:p>
      <w:pPr>
        <w:pStyle w:val="Heading2"/>
      </w:pPr>
      <w:r>
        <w:t>Risk Factors &amp; Regulatory Compliance</w:t>
      </w:r>
    </w:p>
    <w:p>
      <w:r>
        <w:t>Id delectus quia quam quia aspernatur. Vitae recusandae necessitatibus voluptatum nulla molestiae. Possimus aliquid nemo dolor vel. Quia quod eius perferendis non. Perspiciatis earum illum accusantium.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