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2018-Q2</w:t>
      </w:r>
    </w:p>
    <w:p>
      <w:r>
        <w:t>BiotechX Global Strategic Investment Committee</w:t>
      </w:r>
    </w:p>
    <w:p>
      <w:pPr>
        <w:pStyle w:val="Heading2"/>
      </w:pPr>
      <w:r>
        <w:t>Executive Summary</w:t>
      </w:r>
    </w:p>
    <w:p>
      <w:r>
        <w:t>Adipisci sequi voluptas occaecati natus exercitationem. Quibusdam minus esse quibusdam iste. Adipisci numquam cumque expedita inventore voluptatum ad.</w:t>
      </w:r>
    </w:p>
    <w:p>
      <w:r>
        <w:rPr>
          <w:b/>
        </w:rPr>
        <w:t>Confidential Signoff: Elisa Schnyder (AHV: 756.6763.5892.59, IBAN: CH58 0024 59002392 1, Card: 30390847007662)</w:t>
      </w:r>
    </w:p>
    <w:p>
      <w:pPr>
        <w:pStyle w:val="Heading2"/>
      </w:pPr>
      <w:r>
        <w:t>Target Valuation &amp; EBITDA</w:t>
      </w:r>
    </w:p>
    <w:p>
      <w:r>
        <w:t>Voluptatibus fugiat modi fugiat veniam commodi id. Voluptatibus necessitatibus debitis culpa quod. Mollitia explicabo dolor tempore eius quo. Autem suscipit vero quis et modi hic similique. Quidem enim unde culpa sit id a. Quis omnis placeat atque neque in.</w:t>
      </w:r>
    </w:p>
    <w:p>
      <w:pPr>
        <w:pStyle w:val="Heading2"/>
      </w:pPr>
      <w:r>
        <w:t>Risk Factors &amp; Regulatory Compliance</w:t>
      </w:r>
    </w:p>
    <w:p>
      <w:r>
        <w:t>Odio nulla consequuntur nulla voluptatum. Necessitatibus illum ad non cumque numquam placeat veritatis. Quia sunt omnis. Maiores deserunt totam itaque quam dolores iusto. Eum eos tempora dignissimos itaque. Placeat ipsam doloribus debitis itaque.</w:t>
      </w:r>
    </w:p>
    <w:p>
      <w:r>
        <w:rPr>
          <w:b/>
        </w:rPr>
        <w:t>Confidential Signoff: Michael Holland (AHV: 756.6067.3877.25, IBAN: CH24 0024 58606317 1, Card: 675942799072)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