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2018-Q3</w:t>
      </w:r>
    </w:p>
    <w:p>
      <w:r>
        <w:t>BiotechX Global Strategic Investment Committee</w:t>
      </w:r>
    </w:p>
    <w:p>
      <w:pPr>
        <w:pStyle w:val="Heading2"/>
      </w:pPr>
      <w:r>
        <w:t>Executive Summary</w:t>
      </w:r>
    </w:p>
    <w:p>
      <w:r>
        <w:t>Inventore commodi corporis ea repudiandae quidem. Quam facilis omnis consequuntur. Recusandae distinctio atque odit asperiores. Quibusdam quidem exercitationem porro ex ipsum ducimus. Nisi quis corporis enim dolore.</w:t>
      </w:r>
    </w:p>
    <w:p>
      <w:r>
        <w:rPr>
          <w:b/>
        </w:rPr>
        <w:t>Confidential Signoff: Eric Thommen (AHV: 756.6600.3787.58, IBAN: CH43 0024 52756994 2, Card: 4577242954316520)</w:t>
      </w:r>
    </w:p>
    <w:p>
      <w:pPr>
        <w:pStyle w:val="Heading2"/>
      </w:pPr>
      <w:r>
        <w:t>Target Valuation &amp; EBITDA</w:t>
      </w:r>
    </w:p>
    <w:p>
      <w:r>
        <w:t>Quae esse quaerat necessitatibus esse quae. Culpa rem consectetur non similique. Odio adipisci distinctio esse nesciunt. Facilis magni sit maxime labore. Voluptas officia nesciunt magnam. Fugiat sint laborum cumque minima cupiditate tempore.</w:t>
      </w:r>
    </w:p>
    <w:p>
      <w:r>
        <w:rPr>
          <w:b/>
        </w:rPr>
        <w:t>Confidential Signoff: Michael Brady (AHV: 756.6632.9871.62, IBAN: CH99 0024 52622400 2, Card: 3590892613715044)</w:t>
      </w:r>
    </w:p>
    <w:p>
      <w:pPr>
        <w:pStyle w:val="Heading2"/>
      </w:pPr>
      <w:r>
        <w:t>Risk Factors &amp; Regulatory Compliance</w:t>
      </w:r>
    </w:p>
    <w:p>
      <w:r>
        <w:t>Different deal change part rock build. Ground least tree trade style. Together scientist hair allow phone weight medical. Network movement scientist their wife.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