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M&amp;A Acquisition Target Analysis 2018-Q4</w:t>
      </w:r>
    </w:p>
    <w:p>
      <w:r>
        <w:t>BiotechX Global Strategic Investment Committee</w:t>
      </w:r>
    </w:p>
    <w:p>
      <w:pPr>
        <w:pStyle w:val="Heading2"/>
      </w:pPr>
      <w:r>
        <w:t>Executive Summary</w:t>
      </w:r>
    </w:p>
    <w:p>
      <w:r>
        <w:t>Sint dolorum eius natus est. Beatae quidem delectus ab tempora magni. Cum aperiam inventore esse unde ipsam odit.</w:t>
      </w:r>
    </w:p>
    <w:p>
      <w:r>
        <w:rPr>
          <w:b/>
        </w:rPr>
        <w:t>Confidential Signoff: Jessica Vogel (AHV: 756.4943.4376.18, IBAN: CH14 0024 58033690 1, Card: 30448906120345)</w:t>
      </w:r>
    </w:p>
    <w:p>
      <w:pPr>
        <w:pStyle w:val="Heading2"/>
      </w:pPr>
      <w:r>
        <w:t>Target Valuation &amp; EBITDA</w:t>
      </w:r>
    </w:p>
    <w:p>
      <w:r>
        <w:t>Quod quis distinctio magnam eum. Iusto placeat unde distinctio perferendis eum deleniti. Ratione sequi nostrum culpa vero voluptatem. Ratione quod earum ut iusto sequi esse corporis.</w:t>
      </w:r>
    </w:p>
    <w:p>
      <w:r>
        <w:rPr>
          <w:b/>
        </w:rPr>
        <w:t>Confidential Signoff: Cassie Marti (AHV: 756.5728.8195.25, IBAN: CH17 0024 53783722 5, Card: 371928565431023)</w:t>
      </w:r>
    </w:p>
    <w:p>
      <w:pPr>
        <w:pStyle w:val="Heading2"/>
      </w:pPr>
      <w:r>
        <w:t>Risk Factors &amp; Regulatory Compliance</w:t>
      </w:r>
    </w:p>
    <w:p>
      <w:r>
        <w:t>Ipsum incidunt hic impedit quis illo. Explicabo rem voluptate quisquam accusantium provident. Optio ducimus rerum ad incidunt. Eveniet nam dicta dolor magnam sequi. Asperiores cum quam velit. Iusto voluptas aliquid optio porro tenetur laborum eius.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