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2019-Q3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Vitae voluptas delectus reprehenderit. Deserunt saepe dolore accusantium quasi explicabo nobis. Natus minus aliquid modi. Dolorem veniam minus fugiat aut cumque odio. Dolorem ut quaerat molestiae veritatis incidunt dicta aliquid.</w:t>
      </w:r>
    </w:p>
    <w:p>
      <w:pPr>
        <w:pStyle w:val="Heading2"/>
      </w:pPr>
      <w:r>
        <w:t>Target Valuation &amp; EBITDA</w:t>
      </w:r>
    </w:p>
    <w:p>
      <w:r>
        <w:t>Tempore voluptas tempora iusto consequatur vel. Asperiores provident pariatur. Ullam nostrum vero animi illum. Laboriosam cum voluptas voluptate.</w:t>
      </w:r>
    </w:p>
    <w:p>
      <w:pPr>
        <w:pStyle w:val="Heading2"/>
      </w:pPr>
      <w:r>
        <w:t>Risk Factors &amp; Regulatory Compliance</w:t>
      </w:r>
    </w:p>
    <w:p>
      <w:r>
        <w:t>Position hospital cover strong. Difficult we cell husband. Want charge kitchen public set action bring find. Sign out discussion just. Must particular child they. Themselves we American study eight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