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2020-Q2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Vel autem placeat nihil cumque. Libero nobis voluptatum ullam. Ut molestias harum ipsum blanditiis mollitia excepturi.</w:t>
      </w:r>
    </w:p>
    <w:p>
      <w:pPr>
        <w:pStyle w:val="Heading2"/>
      </w:pPr>
      <w:r>
        <w:t>Target Valuation &amp; EBITDA</w:t>
      </w:r>
    </w:p>
    <w:p>
      <w:r>
        <w:t>Vero laudantium recusandae aliquam animi. Repellat tenetur provident saepe atque maxime optio. Tenetur natus praesentium maxime quidem officia.</w:t>
      </w:r>
    </w:p>
    <w:p>
      <w:pPr>
        <w:pStyle w:val="Heading2"/>
      </w:pPr>
      <w:r>
        <w:t>Risk Factors &amp; Regulatory Compliance</w:t>
      </w:r>
    </w:p>
    <w:p>
      <w:r>
        <w:t>Ipsum dicta velit incidunt. Fugiat laudantium laudantium eum laborum harum. Voluptatibus quo quo praesentium minus aliquam veniam. Tempora quibusdam necessitatibus cupiditate et. Modi aliquid esse. Explicabo modi reprehenderit placeat inventore.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