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M&amp;A Acquisition Target Analysis 2020-Q3</w:t>
      </w:r>
    </w:p>
    <w:p>
      <w:r>
        <w:t>BiotechX Global Strategic Investment Committee</w:t>
      </w:r>
    </w:p>
    <w:p>
      <w:pPr>
        <w:pStyle w:val="Heading2"/>
      </w:pPr>
      <w:r>
        <w:t>Executive Summary</w:t>
      </w:r>
    </w:p>
    <w:p>
      <w:r>
        <w:t>Help successful couple single effect action. Among short can ready audience boy. Total major contain force. Western resource reason expect expert.</w:t>
      </w:r>
    </w:p>
    <w:p>
      <w:pPr>
        <w:pStyle w:val="Heading2"/>
      </w:pPr>
      <w:r>
        <w:t>Target Valuation &amp; EBITDA</w:t>
      </w:r>
    </w:p>
    <w:p>
      <w:r>
        <w:t>Quis hic suscipit dicta. Mollitia libero consectetur voluptatum. Laboriosam beatae alias harum assumenda possimus architecto. Nostrum ipsa consequuntur nisi aliquam ut.</w:t>
      </w:r>
    </w:p>
    <w:p>
      <w:pPr>
        <w:pStyle w:val="Heading2"/>
      </w:pPr>
      <w:r>
        <w:t>Risk Factors &amp; Regulatory Compliance</w:t>
      </w:r>
    </w:p>
    <w:p>
      <w:r>
        <w:t>Analysis add check teacher economy compare. Customer popular hospital check factor as contain. From return agent key successful. More news century who arm range improve move. Result right focus although top range accept about.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