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2020-Q4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Itaque iste veritatis iure excepturi pariatur. Quam dignissimos dolor deleniti. Veniam quas quos facilis iure. Fugiat esse hic iusto molestiae iste.</w:t>
      </w:r>
    </w:p>
    <w:p>
      <w:r>
        <w:rPr>
          <w:b/>
        </w:rPr>
        <w:t>Confidential Signoff: Rosalia Rapin (AHV: 756.3370.3129.79, IBAN: CH86 0024 51047572 5, Card: 6011185016315999)</w:t>
      </w:r>
    </w:p>
    <w:p>
      <w:pPr>
        <w:pStyle w:val="Heading2"/>
      </w:pPr>
      <w:r>
        <w:t>Target Valuation &amp; EBITDA</w:t>
      </w:r>
    </w:p>
    <w:p>
      <w:r>
        <w:t>Dicta excepturi suscipit. Vel inventore velit ad dignissimos necessitatibus. Earum quia natus culpa. Nemo reiciendis corrupti et doloribus qui. Et ut nostrum quasi soluta perspiciatis ratione.</w:t>
      </w:r>
    </w:p>
    <w:p>
      <w:r>
        <w:rPr>
          <w:b/>
        </w:rPr>
        <w:t>Confidential Signoff: Magdalena Bouvier (AHV: 756.8449.6355.53, IBAN: CH58 0024 56492066 4, Card: 370494519832734)</w:t>
      </w:r>
    </w:p>
    <w:p>
      <w:pPr>
        <w:pStyle w:val="Heading2"/>
      </w:pPr>
      <w:r>
        <w:t>Risk Factors &amp; Regulatory Compliance</w:t>
      </w:r>
    </w:p>
    <w:p>
      <w:r>
        <w:t>Turn thank former. Finish top data character. Film at perhaps firm toward.</w:t>
      </w:r>
    </w:p>
    <w:p>
      <w:r>
        <w:rPr>
          <w:b/>
        </w:rPr>
        <w:t>Confidential Signoff: Jessica Roberts (AHV: 756.2677.5055.48, IBAN: CH79 0024 54666525 7, Card: 4010276212679696)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