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2021-Q1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Quae veniam assumenda nobis reiciendis. Numquam nihil voluptatibus. Sed deleniti eligendi maxime totam laudantium. Amet dolores esse ipsum.</w:t>
      </w:r>
    </w:p>
    <w:p>
      <w:r>
        <w:rPr>
          <w:b/>
        </w:rPr>
        <w:t>Confidential Signoff: Naser Carraud (AHV: 756.5102.1423.21, IBAN: CH15 0024 58248238 6, Card: 3558313237058950)</w:t>
      </w:r>
    </w:p>
    <w:p>
      <w:pPr>
        <w:pStyle w:val="Heading2"/>
      </w:pPr>
      <w:r>
        <w:t>Target Valuation &amp; EBITDA</w:t>
      </w:r>
    </w:p>
    <w:p>
      <w:r>
        <w:t>Earum voluptatum omnis. Ex adipisci sit unde. Quasi accusantium fugit. Fugit alias perferendis possimus excepturi rem sequi. Illum exercitationem velit quaerat mollitia laborum.</w:t>
      </w:r>
    </w:p>
    <w:p>
      <w:r>
        <w:rPr>
          <w:b/>
        </w:rPr>
        <w:t>Confidential Signoff: Alberto Yu (AHV: 756.5808.8123.30, IBAN: CH92 0024 56707197 2, Card: 4913619399091698)</w:t>
      </w:r>
    </w:p>
    <w:p>
      <w:pPr>
        <w:pStyle w:val="Heading2"/>
      </w:pPr>
      <w:r>
        <w:t>Risk Factors &amp; Regulatory Compliance</w:t>
      </w:r>
    </w:p>
    <w:p>
      <w:r>
        <w:t>Ullam assumenda pariatur et magni beatae repellat. Doloribus debitis aperiam nemo. Quod sint ab accusamus rem. Architecto nesciunt vitae voluptas occaecati ex pariatur nostrum.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