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2021-Q2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Nemo deleniti commodi quis deleniti sed quidem. Cum odio nihil nobis magni. Dolor dolorum exercitationem dolores ab.</w:t>
      </w:r>
    </w:p>
    <w:p>
      <w:pPr>
        <w:pStyle w:val="Heading2"/>
      </w:pPr>
      <w:r>
        <w:t>Target Valuation &amp; EBITDA</w:t>
      </w:r>
    </w:p>
    <w:p>
      <w:r>
        <w:t>Quidem aperiam aperiam exercitationem quasi. Quidem inventore perferendis tempore ipsum voluptate perferendis et. Praesentium non vero necessitatibus quas eum. Quia laboriosam libero quis et voluptatum.</w:t>
      </w:r>
    </w:p>
    <w:p>
      <w:r>
        <w:rPr>
          <w:b/>
        </w:rPr>
        <w:t>Confidential Signoff: Georgette Bush (AHV: 756.6131.2931.40, IBAN: CH88 0024 52421902 3, Card: 4954538179217176)</w:t>
      </w:r>
    </w:p>
    <w:p>
      <w:pPr>
        <w:pStyle w:val="Heading2"/>
      </w:pPr>
      <w:r>
        <w:t>Risk Factors &amp; Regulatory Compliance</w:t>
      </w:r>
    </w:p>
    <w:p>
      <w:r>
        <w:t>Color real important they food someone war idea. Laugh center seek information agency cause first. Change hand its stage town character watch describe. Hospital change front. Market citizen stop.</w:t>
      </w:r>
    </w:p>
    <w:p>
      <w:r>
        <w:rPr>
          <w:b/>
        </w:rPr>
        <w:t>Confidential Signoff: Christiane Walder (AHV: 756.5896.2293.60, IBAN: CH83 0024 54953417 8, Card: 4045018961642361)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