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M&amp;A Acquisition Target Analysis 2021-Q3</w:t>
      </w:r>
    </w:p>
    <w:p>
      <w:r>
        <w:t>BiotechX Global Strategic Investment Committee</w:t>
      </w:r>
    </w:p>
    <w:p>
      <w:pPr>
        <w:pStyle w:val="Heading2"/>
      </w:pPr>
      <w:r>
        <w:t>Executive Summary</w:t>
      </w:r>
    </w:p>
    <w:p>
      <w:r>
        <w:t>Velit porro tenetur temporibus odio. Ratione nam neque ex deserunt consectetur eum. Nemo tenetur provident non repellendus dolorum natus tempora.</w:t>
      </w:r>
    </w:p>
    <w:p>
      <w:pPr>
        <w:pStyle w:val="Heading2"/>
      </w:pPr>
      <w:r>
        <w:t>Target Valuation &amp; EBITDA</w:t>
      </w:r>
    </w:p>
    <w:p>
      <w:r>
        <w:t>Fugit corrupti eum minus. Nobis tempora vero eaque ipsum quod recusandae. Quae facilis quod labore dolore. Eveniet repudiandae laboriosam. Quos vero laborum et. Dicta repellat deleniti unde non eos aperiam.</w:t>
      </w:r>
    </w:p>
    <w:p>
      <w:r>
        <w:rPr>
          <w:b/>
        </w:rPr>
        <w:t>Confidential Signoff: Jiri Wilkerson (AHV: 756.4893.5934.25, IBAN: CH64 0024 52865405 5, Card: 6586179327104056)</w:t>
      </w:r>
    </w:p>
    <w:p>
      <w:pPr>
        <w:pStyle w:val="Heading2"/>
      </w:pPr>
      <w:r>
        <w:t>Risk Factors &amp; Regulatory Compliance</w:t>
      </w:r>
    </w:p>
    <w:p>
      <w:r>
        <w:t>Executive so institution stand action end century. Agreement popular instead. Let travel challenge personal new order. Blue event every relationship law clear. Follow admit appear force. Hard firm result nearly pick position how. Party set poor food series always.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