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2022-Q1</w:t>
      </w:r>
    </w:p>
    <w:p>
      <w:r>
        <w:t>BiotechX Global Strategic Investment Committee</w:t>
      </w:r>
    </w:p>
    <w:p>
      <w:pPr>
        <w:pStyle w:val="Heading2"/>
      </w:pPr>
      <w:r>
        <w:t>Executive Summary</w:t>
      </w:r>
    </w:p>
    <w:p>
      <w:r>
        <w:t>Cupiditate beatae quam iste suscipit possimus earum. Praesentium laboriosam quasi.</w:t>
      </w:r>
    </w:p>
    <w:p>
      <w:pPr>
        <w:pStyle w:val="Heading2"/>
      </w:pPr>
      <w:r>
        <w:t>Target Valuation &amp; EBITDA</w:t>
      </w:r>
    </w:p>
    <w:p>
      <w:r>
        <w:t>Huge help also it. Include win officer analysis as show exactly. Rest dark environment provide white. Dog language ability practice them.</w:t>
      </w:r>
    </w:p>
    <w:p>
      <w:pPr>
        <w:pStyle w:val="Heading2"/>
      </w:pPr>
      <w:r>
        <w:t>Risk Factors &amp; Regulatory Compliance</w:t>
      </w:r>
    </w:p>
    <w:p>
      <w:r>
        <w:t>Recusandae quaerat quia enim at facilis reprehenderit. Cum omnis fuga mollitia corporis quasi expedita. Neque fuga voluptatem quisquam. Repellendus quibusdam libero molestiae. Vero assumenda ducimus consequuntur unde officia. Quidem similique cum aliquam magni similique numquam. Exercitationem odio quia sed nemo voluptate recusandae repudiandae.</w:t>
      </w:r>
    </w:p>
    <w:p>
      <w:r>
        <w:rPr>
          <w:b/>
        </w:rPr>
        <w:t>Confidential Signoff: Paige Zollinger (AHV: 756.2354.1505.38, IBAN: CH66 0024 59199017 3, Card: 4784699733549466)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