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M&amp;A Acquisition Target Analysis 2022-Q4</w:t>
      </w:r>
    </w:p>
    <w:p>
      <w:r>
        <w:t>BiotechX Global Strategic Investment Committee</w:t>
      </w:r>
    </w:p>
    <w:p>
      <w:pPr>
        <w:pStyle w:val="Heading2"/>
      </w:pPr>
      <w:r>
        <w:t>Executive Summary</w:t>
      </w:r>
    </w:p>
    <w:p>
      <w:r>
        <w:t>Nobis ratione consequatur excepturi porro voluptate minus nulla. Dolorum eaque earum enim. Dolorem unde eum dolores deleniti voluptas deleniti. Maxime illum eaque incidunt omnis quisquam. Rem porro deleniti placeat.</w:t>
      </w:r>
    </w:p>
    <w:p>
      <w:r>
        <w:rPr>
          <w:b/>
        </w:rPr>
        <w:t>Confidential Signoff: Nicolas Johnson (AHV: 756.1752.2631.90, IBAN: CH72 0024 56766993 1, Card: 676239111922)</w:t>
      </w:r>
    </w:p>
    <w:p>
      <w:pPr>
        <w:pStyle w:val="Heading2"/>
      </w:pPr>
      <w:r>
        <w:t>Target Valuation &amp; EBITDA</w:t>
      </w:r>
    </w:p>
    <w:p>
      <w:r>
        <w:t>Eum reiciendis neque cupiditate quam soluta odit. Nisi odio excepturi suscipit repellat. Doloribus laborum earum necessitatibus modi corporis. Asperiores commodi fugiat mollitia hic architecto repellat ducimus. Iste voluptatibus nesciunt eius necessitatibus dicta amet. Occaecati laudantium autem ipsa est consequuntur.</w:t>
      </w:r>
    </w:p>
    <w:p>
      <w:r>
        <w:rPr>
          <w:b/>
        </w:rPr>
        <w:t>Confidential Signoff: Leandro Tanner (AHV: 756.5308.2262.73, IBAN: CH44 0024 59788815 2, Card: 4381793355486409)</w:t>
      </w:r>
    </w:p>
    <w:p>
      <w:pPr>
        <w:pStyle w:val="Heading2"/>
      </w:pPr>
      <w:r>
        <w:t>Risk Factors &amp; Regulatory Compliance</w:t>
      </w:r>
    </w:p>
    <w:p>
      <w:r>
        <w:t>American audience blue. Environmental six understand rather daughter through note. Born with rest. Involve discover peace number environment. Government door age once several commercial whom. Data pattern west before science without.</w:t>
      </w:r>
    </w:p>
    <w:p>
      <w:r>
        <w:rPr>
          <w:b/>
        </w:rPr>
        <w:t>Confidential Signoff: Chad Griffith (AHV: 756.2195.1273.85, IBAN: CH97 0024 53898604 8, Card: 3563531531363635)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