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2023-Q1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Dolorum enim doloremque nobis iusto. Placeat natus officia. Iste reiciendis harum exercitationem. Accusantium ipsa ipsum incidunt ipsa expedita.</w:t>
      </w:r>
    </w:p>
    <w:p>
      <w:r>
        <w:rPr>
          <w:b/>
        </w:rPr>
        <w:t>Confidential Signoff: Sara Besençon (AHV: 756.5584.2524.15, IBAN: CH72 0024 52004872 3, Card: 6011064628792327)</w:t>
      </w:r>
    </w:p>
    <w:p>
      <w:pPr>
        <w:pStyle w:val="Heading2"/>
      </w:pPr>
      <w:r>
        <w:t>Target Valuation &amp; EBITDA</w:t>
      </w:r>
    </w:p>
    <w:p>
      <w:r>
        <w:t>Laboriosam cumque sequi officia nobis. Sapiente voluptatem facilis quis at. At possimus amet aspernatur. Iste eos similique eius totam. Illum cumque architecto sit numquam.</w:t>
      </w:r>
    </w:p>
    <w:p>
      <w:r>
        <w:rPr>
          <w:b/>
        </w:rPr>
        <w:t>Confidential Signoff: Eliane Glenn (AHV: 756.5771.1534.39, IBAN: CH62 0024 58558197 8, Card: 4566765277584161694)</w:t>
      </w:r>
    </w:p>
    <w:p>
      <w:pPr>
        <w:pStyle w:val="Heading2"/>
      </w:pPr>
      <w:r>
        <w:t>Risk Factors &amp; Regulatory Compliance</w:t>
      </w:r>
    </w:p>
    <w:p>
      <w:r>
        <w:t>Molestias velit tempora doloremque repellat. Nobis aspernatur quo eaque quos. Commodi iure quis quam corrupti ut doloribus. Eveniet cupiditate earum.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