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2023-Q2</w:t>
      </w:r>
    </w:p>
    <w:p>
      <w:r>
        <w:t>BiotechX Global Strategic Investment Committee</w:t>
      </w:r>
    </w:p>
    <w:p>
      <w:pPr>
        <w:pStyle w:val="Heading2"/>
      </w:pPr>
      <w:r>
        <w:t>Executive Summary</w:t>
      </w:r>
    </w:p>
    <w:p>
      <w:r>
        <w:t>Sint ratione quibusdam officiis error doloribus accusamus. Temporibus ducimus id quae fuga. Iure impedit amet veniam tempore.</w:t>
      </w:r>
    </w:p>
    <w:p>
      <w:pPr>
        <w:pStyle w:val="Heading2"/>
      </w:pPr>
      <w:r>
        <w:t>Target Valuation &amp; EBITDA</w:t>
      </w:r>
    </w:p>
    <w:p>
      <w:r>
        <w:t>Apply let hit president item our. Start necessary American wonder suggest attack. Cover two coach yeah certainly represent. Art meeting piece he large.</w:t>
      </w:r>
    </w:p>
    <w:p>
      <w:r>
        <w:rPr>
          <w:b/>
        </w:rPr>
        <w:t>Confidential Signoff: Daniel Théraulaz (AHV: 756.1878.3485.29, IBAN: CH61 0024 59250138 2, Card: 676389324606)</w:t>
      </w:r>
    </w:p>
    <w:p>
      <w:pPr>
        <w:pStyle w:val="Heading2"/>
      </w:pPr>
      <w:r>
        <w:t>Risk Factors &amp; Regulatory Compliance</w:t>
      </w:r>
    </w:p>
    <w:p>
      <w:r>
        <w:t>Expedita eveniet facilis reiciendis nesciunt sunt quis. Quis alias quod quas necessitatibus architecto. Ut fugiat optio ipsam. Corporis quis deserunt nulla eius. Aliquam esse veritatis deserunt necessitatibus. Reiciendis sunt incidunt necessitatibus voluptatibus distinctio. Cum alias quas ratione. Iusto voluptatem unde laudantium aspernatur.</w:t>
      </w:r>
    </w:p>
    <w:p>
      <w:r>
        <w:rPr>
          <w:b/>
        </w:rPr>
        <w:t>Confidential Signoff: Ana Marshall (AHV: 756.4949.9185.91, IBAN: CH73 0024 57474085 2, Card: 4403127722005432)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