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2023-Q3</w:t>
      </w:r>
    </w:p>
    <w:p>
      <w:r>
        <w:t>BiotechX Global Strategic Investment Committee</w:t>
      </w:r>
    </w:p>
    <w:p>
      <w:pPr>
        <w:pStyle w:val="Heading2"/>
      </w:pPr>
      <w:r>
        <w:t>Executive Summary</w:t>
      </w:r>
    </w:p>
    <w:p>
      <w:r>
        <w:t>Unde animi illo inventore impedit voluptatem. Vel blanditiis doloremque soluta laudantium vero.</w:t>
      </w:r>
    </w:p>
    <w:p>
      <w:r>
        <w:rPr>
          <w:b/>
        </w:rPr>
        <w:t>Confidential Signoff: Rosalie Godet (AHV: 756.3042.5670.20, IBAN: CH80 0024 52721170 9, Card: 4955905992937844)</w:t>
      </w:r>
    </w:p>
    <w:p>
      <w:pPr>
        <w:pStyle w:val="Heading2"/>
      </w:pPr>
      <w:r>
        <w:t>Target Valuation &amp; EBITDA</w:t>
      </w:r>
    </w:p>
    <w:p>
      <w:r>
        <w:t>Inventore doloremque doloribus rem excepturi nisi. Fugiat assumenda aspernatur recusandae ab molestiae laudantium at. Voluptatibus a debitis consequatur. Perspiciatis ullam praesentium pariatur assumenda cumque.</w:t>
      </w:r>
    </w:p>
    <w:p>
      <w:pPr>
        <w:pStyle w:val="Heading2"/>
      </w:pPr>
      <w:r>
        <w:t>Risk Factors &amp; Regulatory Compliance</w:t>
      </w:r>
    </w:p>
    <w:p>
      <w:r>
        <w:t>Aliquam nesciunt voluptates nostrum. Ratione tempore repudiandae laudantium eaque. Nulla minima rerum eligendi aperiam. Sequi culpa quod maiores libero dolore eligendi hic. Pariatur possimus repellat facere magni eos. In ut recusandae sed pariatur distinctio.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