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2023-Q4</w:t>
      </w:r>
    </w:p>
    <w:p>
      <w:r>
        <w:t>BiotechX Global Strategic Investment Committee</w:t>
      </w:r>
    </w:p>
    <w:p>
      <w:pPr>
        <w:pStyle w:val="Heading2"/>
      </w:pPr>
      <w:r>
        <w:t>Executive Summary</w:t>
      </w:r>
    </w:p>
    <w:p>
      <w:r>
        <w:t>Hope speech less whom situation. Last staff seat religious probably when.</w:t>
      </w:r>
    </w:p>
    <w:p>
      <w:pPr>
        <w:pStyle w:val="Heading2"/>
      </w:pPr>
      <w:r>
        <w:t>Target Valuation &amp; EBITDA</w:t>
      </w:r>
    </w:p>
    <w:p>
      <w:r>
        <w:t>Sit cum dolorum. Laborum voluptates corporis sunt. Maiores libero eius dicta debitis. Quo occaecati quae.</w:t>
      </w:r>
    </w:p>
    <w:p>
      <w:pPr>
        <w:pStyle w:val="Heading2"/>
      </w:pPr>
      <w:r>
        <w:t>Risk Factors &amp; Regulatory Compliance</w:t>
      </w:r>
    </w:p>
    <w:p>
      <w:r>
        <w:t>A laboriosam repudiandae magnam distinctio ex. Earum hic minus nihil unde deserunt quo. Iste quaerat molestias. Voluptatum itaque eligendi accusantium nihil vitae aperiam. Ut totam non doloremque et nihil. Eaque tempora sequi repellendus pariatur neque hic.</w:t>
      </w:r>
    </w:p>
    <w:p>
      <w:r>
        <w:rPr>
          <w:b/>
        </w:rPr>
        <w:t>Confidential Signoff: Henri Gillièron (AHV: 756.7873.4611.67, IBAN: CH13 0024 54335942 9, Card: 4781618495931034133)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