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2024-Q2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Aliquid est quis quidem totam. Repellat molestias neque porro.</w:t>
      </w:r>
    </w:p>
    <w:p>
      <w:r>
        <w:rPr>
          <w:b/>
        </w:rPr>
        <w:t>Confidential Signoff: Josua Bauer (AHV: 756.9591.3439.40, IBAN: CH32 0024 52795437 2, Card: 2261381138633833)</w:t>
      </w:r>
    </w:p>
    <w:p>
      <w:pPr>
        <w:pStyle w:val="Heading2"/>
      </w:pPr>
      <w:r>
        <w:t>Target Valuation &amp; EBITDA</w:t>
      </w:r>
    </w:p>
    <w:p>
      <w:r>
        <w:t>Aut illo ut est soluta. Omnis eaque amet architecto. A tempora aliquam repellat illo autem culpa velit. Aspernatur cumque officiis necessitatibus sint. Repellat iusto quas consectetur qui reprehenderit placeat dolores. A minima earum recusandae quod deleniti.</w:t>
      </w:r>
    </w:p>
    <w:p>
      <w:pPr>
        <w:pStyle w:val="Heading2"/>
      </w:pPr>
      <w:r>
        <w:t>Risk Factors &amp; Regulatory Compliance</w:t>
      </w:r>
    </w:p>
    <w:p>
      <w:r>
        <w:t>Inventore nostrum harum repudiandae. Exercitationem illo nihil tenetur enim. Nulla suscipit provident ducimus non. Voluptate illo deleniti. Porro nemo repellendus neque voluptas.</w:t>
      </w:r>
    </w:p>
    <w:p>
      <w:r>
        <w:rPr>
          <w:b/>
        </w:rPr>
        <w:t>Confidential Signoff: Niklas Bavaud (AHV: 756.4043.7227.20, IBAN: CH80 0024 57298619 7, Card: 4211039240519)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