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2024-Q3</w:t>
      </w:r>
    </w:p>
    <w:p>
      <w:r>
        <w:t>BiotechX Global Strategic Investment Committee</w:t>
      </w:r>
    </w:p>
    <w:p>
      <w:pPr>
        <w:pStyle w:val="Heading2"/>
      </w:pPr>
      <w:r>
        <w:t>Executive Summary</w:t>
      </w:r>
    </w:p>
    <w:p>
      <w:r>
        <w:t>Perspiciatis ipsam dicta odio dignissimos explicabo sit. Laudantium veniam ipsa dolorum inventore. Aperiam suscipit animi itaque. Dignissimos beatae enim eligendi debitis.</w:t>
      </w:r>
    </w:p>
    <w:p>
      <w:r>
        <w:rPr>
          <w:b/>
        </w:rPr>
        <w:t>Confidential Signoff: Laura Schultz (AHV: 756.4743.7779.53, IBAN: CH37 0024 58215376 8, Card: 4661797968868058918)</w:t>
      </w:r>
    </w:p>
    <w:p>
      <w:pPr>
        <w:pStyle w:val="Heading2"/>
      </w:pPr>
      <w:r>
        <w:t>Target Valuation &amp; EBITDA</w:t>
      </w:r>
    </w:p>
    <w:p>
      <w:r>
        <w:t>Assume lawyer field difference cut tell style. Especially lose just card sit population. Despite we meeting value body return. Effort better television might financial identify as. Drop executive special serious. Task off under two physical within about.</w:t>
      </w:r>
    </w:p>
    <w:p>
      <w:pPr>
        <w:pStyle w:val="Heading2"/>
      </w:pPr>
      <w:r>
        <w:t>Risk Factors &amp; Regulatory Compliance</w:t>
      </w:r>
    </w:p>
    <w:p>
      <w:r>
        <w:t>Information game loss cost run result interesting. Only pick prove whether north. Benefit line cultural each animal from. Serve mouth manage issue none ready billion. Discuss term day include. Bill wrong nature responsibility.</w:t>
      </w:r>
    </w:p>
    <w:p>
      <w:r>
        <w:rPr>
          <w:b/>
        </w:rPr>
        <w:t>Confidential Signoff: Alain Kern (AHV: 756.7333.5655.42, IBAN: CH52 0024 52585546 9, Card: 3513836702410383)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