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2024-Q4</w:t>
      </w:r>
    </w:p>
    <w:p>
      <w:r>
        <w:t>BiotechX Global Strategic Investment Committee</w:t>
      </w:r>
    </w:p>
    <w:p>
      <w:pPr>
        <w:pStyle w:val="Heading2"/>
      </w:pPr>
      <w:r>
        <w:t>Executive Summary</w:t>
      </w:r>
    </w:p>
    <w:p>
      <w:r>
        <w:t>Possimus ad atque occaecati accusantium eius cupiditate. Doloremque aliquid debitis repudiandae. Consequatur itaque optio dolorem consequatur. Quas quam facilis quidem.</w:t>
      </w:r>
    </w:p>
    <w:p>
      <w:pPr>
        <w:pStyle w:val="Heading2"/>
      </w:pPr>
      <w:r>
        <w:t>Target Valuation &amp; EBITDA</w:t>
      </w:r>
    </w:p>
    <w:p>
      <w:r>
        <w:t>Porro rerum culpa fugiat. Fugiat modi placeat tempora. Assumenda culpa asperiores impedit. Dolorem repellat eaque maxime nam perspiciatis. Tempore totam voluptates suscipit culpa voluptatum minus necessitatibus.</w:t>
      </w:r>
    </w:p>
    <w:p>
      <w:r>
        <w:rPr>
          <w:b/>
        </w:rPr>
        <w:t>Confidential Signoff: Eric Schmidt (AHV: 756.6026.3616.61, IBAN: CH17 0024 52983483 8, Card: 4959463688725887447)</w:t>
      </w:r>
    </w:p>
    <w:p>
      <w:pPr>
        <w:pStyle w:val="Heading2"/>
      </w:pPr>
      <w:r>
        <w:t>Risk Factors &amp; Regulatory Compliance</w:t>
      </w:r>
    </w:p>
    <w:p>
      <w:r>
        <w:t>Nostrum recusandae eius ea. Unde reiciendis saepe deserunt eos. Iure at neque recusandae consectetur amet qui. Veniam beatae laboriosam tenetur neque qui consequatur. Debitis soluta reiciendis dolores amet similique molestiae. Dolores mollitia excepturi modi.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