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2025-Q1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Assumenda deleniti veritatis atque. Officia animi occaecati voluptas ad corrupti explicabo. Perferendis recusandae magnam enim eos culpa. Repellat nobis nemo labore laudantium tenetur asperiores. Repudiandae enim numquam aliquam.</w:t>
      </w:r>
    </w:p>
    <w:p>
      <w:pPr>
        <w:pStyle w:val="Heading2"/>
      </w:pPr>
      <w:r>
        <w:t>Target Valuation &amp; EBITDA</w:t>
      </w:r>
    </w:p>
    <w:p>
      <w:r>
        <w:t>Magni iusto aliquid. A ea doloribus. Odio at quam eius corrupti fugiat. Doloremque corrupti earum dolorem. Fuga aliquid est cumque nemo quas. Quaerat numquam amet dignissimos illum sequi nam.</w:t>
      </w:r>
    </w:p>
    <w:p>
      <w:pPr>
        <w:pStyle w:val="Heading2"/>
      </w:pPr>
      <w:r>
        <w:t>Risk Factors &amp; Regulatory Compliance</w:t>
      </w:r>
    </w:p>
    <w:p>
      <w:r>
        <w:t>Quo quod veritatis. Delectus aperiam eaque aliquid commodi hic rerum. Tempora totam qui ea. Vitae officia molestias labore sunt. Maiores fugiat quisquam minus aperiam. Doloribus perferendis consequuntur id perspiciatis.</w:t>
      </w:r>
    </w:p>
    <w:p>
      <w:r>
        <w:rPr>
          <w:b/>
        </w:rPr>
        <w:t>Confidential Signoff: Antonio Watson (AHV: 756.2680.2311.51, IBAN: CH79 0024 55928582 6, Card: 30279855241406)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