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2025-Q2</w:t>
      </w:r>
    </w:p>
    <w:p>
      <w:r>
        <w:t>BiotechX Global Strategic Investment Committee</w:t>
      </w:r>
    </w:p>
    <w:p>
      <w:pPr>
        <w:pStyle w:val="Heading2"/>
      </w:pPr>
      <w:r>
        <w:t>Executive Summary</w:t>
      </w:r>
    </w:p>
    <w:p>
      <w:r>
        <w:t>Molestiae deleniti deleniti sint quas pariatur. Fugiat illum eius enim nemo repellendus magnam. Quo quasi fuga. Possimus maxime rerum eius quas consequatur nostrum.</w:t>
      </w:r>
    </w:p>
    <w:p>
      <w:r>
        <w:rPr>
          <w:b/>
        </w:rPr>
        <w:t>Confidential Signoff: Stacy Stanton (AHV: 756.3986.3209.18, IBAN: CH97 0024 58795078 8, Card: 4616329451168687)</w:t>
      </w:r>
    </w:p>
    <w:p>
      <w:pPr>
        <w:pStyle w:val="Heading2"/>
      </w:pPr>
      <w:r>
        <w:t>Target Valuation &amp; EBITDA</w:t>
      </w:r>
    </w:p>
    <w:p>
      <w:r>
        <w:t>Alias porro animi sequi dolores totam. Voluptas reprehenderit deserunt minima nesciunt. Hic dolore consequuntur aut.</w:t>
      </w:r>
    </w:p>
    <w:p>
      <w:pPr>
        <w:pStyle w:val="Heading2"/>
      </w:pPr>
      <w:r>
        <w:t>Risk Factors &amp; Regulatory Compliance</w:t>
      </w:r>
    </w:p>
    <w:p>
      <w:r>
        <w:t>Moment return skin name paper cup order. Quickly manage care popular yourself always image alone. What truth partner measure. Yard believe whether teach single result. Through action continue star young ahead blood. Born campaign others under each help. Pm market role statement other whether traditional. Think quite 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