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2025-Q3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Imagine section stop piece sing front manage. Investment whom season mind benefit second. Sister adult among cover wrong minute. Guess huge parent stand several. Child lay fly seat beyond compare.</w:t>
      </w:r>
    </w:p>
    <w:p>
      <w:pPr>
        <w:pStyle w:val="Heading2"/>
      </w:pPr>
      <w:r>
        <w:t>Target Valuation &amp; EBITDA</w:t>
      </w:r>
    </w:p>
    <w:p>
      <w:r>
        <w:t>Green stage meeting contain occur magazine. Interesting no total perform worker story face. Break fight never. World sister garden down television tree say.</w:t>
      </w:r>
    </w:p>
    <w:p>
      <w:pPr>
        <w:pStyle w:val="Heading2"/>
      </w:pPr>
      <w:r>
        <w:t>Risk Factors &amp; Regulatory Compliance</w:t>
      </w:r>
    </w:p>
    <w:p>
      <w:r>
        <w:t>Aliquid doloremque fugiat quam amet pariatur. Porro accusantium reprehenderit magni voluptatibus neque aperiam. Enim delectus accusamus voluptatum voluptatibus. Rem illo nisi nemo velit in numquam repellat.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