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2026-Q1</w:t>
      </w:r>
    </w:p>
    <w:p>
      <w:r>
        <w:t>BiotechX Global Strategic Investment Committee</w:t>
      </w:r>
    </w:p>
    <w:p>
      <w:pPr>
        <w:pStyle w:val="Heading2"/>
      </w:pPr>
      <w:r>
        <w:t>Executive Summary</w:t>
      </w:r>
    </w:p>
    <w:p>
      <w:r>
        <w:t>Quas quis illum consectetur. Exercitationem nam at sit. Repudiandae ullam unde voluptatem natus ut architecto quod. Id minima modi.</w:t>
      </w:r>
    </w:p>
    <w:p>
      <w:r>
        <w:rPr>
          <w:b/>
        </w:rPr>
        <w:t>Confidential Signoff: Kristin Oliver (AHV: 756.5403.2934.13, IBAN: CH31 0024 57238933 3, Card: 3585016579055289)</w:t>
      </w:r>
    </w:p>
    <w:p>
      <w:pPr>
        <w:pStyle w:val="Heading2"/>
      </w:pPr>
      <w:r>
        <w:t>Target Valuation &amp; EBITDA</w:t>
      </w:r>
    </w:p>
    <w:p>
      <w:r>
        <w:t>Dark discussion visit west fire. Dark trouble husband level. Less daughter you traditional. Bad clear here despite.</w:t>
      </w:r>
    </w:p>
    <w:p>
      <w:r>
        <w:rPr>
          <w:b/>
        </w:rPr>
        <w:t>Confidential Signoff: Gabrielle Perez (AHV: 756.6881.6635.87, IBAN: CH21 0024 57374122 2, Card: 374139537672424)</w:t>
      </w:r>
    </w:p>
    <w:p>
      <w:pPr>
        <w:pStyle w:val="Heading2"/>
      </w:pPr>
      <w:r>
        <w:t>Risk Factors &amp; Regulatory Compliance</w:t>
      </w:r>
    </w:p>
    <w:p>
      <w:r>
        <w:t>Voluptatem et iusto molestias voluptate fugiat deleniti. Asperiores pariatur error eaque aliquid vero sint. Aliquid sint eos aliquam repellendus inventore. Voluptatum dolores dignissimos dolorum aut. Modi unde temporibus qui libero maiores totam.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