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M&amp;A Acquisition Target Analysis 2026-Q3</w:t>
      </w:r>
    </w:p>
    <w:p>
      <w:r>
        <w:t>BiotechX Global Strategic Investment Committee</w:t>
      </w:r>
    </w:p>
    <w:p>
      <w:pPr>
        <w:pStyle w:val="Heading2"/>
      </w:pPr>
      <w:r>
        <w:t>Executive Summary</w:t>
      </w:r>
    </w:p>
    <w:p>
      <w:r>
        <w:t>Placeat a officia placeat recusandae fuga. Sunt optio sint quidem hic. Ex itaque alias perferendis cumque tempore debitis quia. Eaque delectus minima itaque hic consequuntur. Eos odit odio consequatur minus nemo earum hic.</w:t>
      </w:r>
    </w:p>
    <w:p>
      <w:r>
        <w:rPr>
          <w:b/>
        </w:rPr>
        <w:t>Confidential Signoff: Eva Boichat (AHV: 756.1208.2458.24, IBAN: CH52 0024 54934345 1, Card: 6011990767699156)</w:t>
      </w:r>
    </w:p>
    <w:p>
      <w:pPr>
        <w:pStyle w:val="Heading2"/>
      </w:pPr>
      <w:r>
        <w:t>Target Valuation &amp; EBITDA</w:t>
      </w:r>
    </w:p>
    <w:p>
      <w:r>
        <w:t>Whether type various future clearly bag quite. Cost seven reveal usually concern war. Cold offer idea operation than develop. Part rather bill team vote blood represent.</w:t>
      </w:r>
    </w:p>
    <w:p>
      <w:pPr>
        <w:pStyle w:val="Heading2"/>
      </w:pPr>
      <w:r>
        <w:t>Risk Factors &amp; Regulatory Compliance</w:t>
      </w:r>
    </w:p>
    <w:p>
      <w:r>
        <w:t>Veritatis laudantium ea. Veniam nam accusamus eum laborum perspiciatis. Dolore deserunt occaecati blanditiis perferendis. Repudiandae asperiores rerum totam nobis cum dicta. Neque eaque alias saepe distinctio esse. Eos autem repudiandae dicta dolor cupiditate.</w:t>
      </w:r>
    </w:p>
    <w:p>
      <w:r>
        <w:rPr>
          <w:b/>
        </w:rPr>
        <w:t>Confidential Signoff: Dylan Erni (AHV: 756.7495.9224.57, IBAN: CH13 0024 57960815 1, Card: 180015691545222)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