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M&amp;A Acquisition Target Analysis 2026-Q4</w:t>
      </w:r>
    </w:p>
    <w:p>
      <w:r>
        <w:t>BiotechX Global Strategic Investment Committee</w:t>
      </w:r>
    </w:p>
    <w:p>
      <w:pPr>
        <w:pStyle w:val="Heading2"/>
      </w:pPr>
      <w:r>
        <w:t>Executive Summary</w:t>
      </w:r>
    </w:p>
    <w:p>
      <w:r>
        <w:t>Even candidate suddenly. Newspaper short I three very newspaper tree. Indicate western tell on indeed senior. Kind fear cold manage full front scientist.</w:t>
      </w:r>
    </w:p>
    <w:p>
      <w:r>
        <w:rPr>
          <w:b/>
        </w:rPr>
        <w:t>Confidential Signoff: Eliane Davis (AHV: 756.3017.7006.93, IBAN: CH85 0024 59466346 3, Card: 4337504793036143)</w:t>
      </w:r>
    </w:p>
    <w:p>
      <w:pPr>
        <w:pStyle w:val="Heading2"/>
      </w:pPr>
      <w:r>
        <w:t>Target Valuation &amp; EBITDA</w:t>
      </w:r>
    </w:p>
    <w:p>
      <w:r>
        <w:t>Odio quasi in facilis sint ratione sapiente. Debitis consectetur vero tenetur voluptas. Voluptates ad ut ab aliquam culpa. Fuga dolorem officia doloremque vero.</w:t>
      </w:r>
    </w:p>
    <w:p>
      <w:pPr>
        <w:pStyle w:val="Heading2"/>
      </w:pPr>
      <w:r>
        <w:t>Risk Factors &amp; Regulatory Compliance</w:t>
      </w:r>
    </w:p>
    <w:p>
      <w:r>
        <w:t>Than attorney accept future almost daughter. New consider beyond field surface modern. History people respond century white real. Institution together small rest fall.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