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Mario Frick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Mario Frick | Dept: Sales | IBAN: CH21 0024 58078673 1</w:t>
      </w:r>
    </w:p>
    <w:p>
      <w:pPr>
        <w:pStyle w:val="Heading2"/>
      </w:pPr>
      <w:r>
        <w:t>Key Accomplishments</w:t>
      </w:r>
    </w:p>
    <w:p>
      <w:r>
        <w:t>Cum quaerat iure ad cumque iusto maxime. Pariatur debitis debitis expedita. Eum quia facilis occaecati laborum fugiat sint.</w:t>
      </w:r>
    </w:p>
    <w:p>
      <w:pPr>
        <w:pStyle w:val="Heading2"/>
      </w:pPr>
      <w:r>
        <w:t>Manager Feedback</w:t>
      </w:r>
    </w:p>
    <w:p>
      <w:r>
        <w:t>Peace memory simply prove. Him price drop bill apply than responsibility. Population compare lead Democrat.</w:t>
      </w:r>
    </w:p>
    <w:p>
      <w:r>
        <w:rPr>
          <w:b/>
        </w:rPr>
        <w:t>Confidential Signoff: Jill Weibel (AHV: 756.8259.7947.72, IBAN: CH16 0024 52368710 5, Card: 4745171339596292335)</w:t>
      </w:r>
    </w:p>
    <w:p>
      <w:pPr>
        <w:pStyle w:val="Heading2"/>
      </w:pPr>
      <w:r>
        <w:t>Salary Adjustment</w:t>
      </w:r>
    </w:p>
    <w:p>
      <w:r>
        <w:t>Approved 4.5% increase for FY2026. New Base: CHF 222964.</w:t>
      </w:r>
    </w:p>
    <w:p>
      <w:r>
        <w:rPr>
          <w:b/>
        </w:rPr>
        <w:t>Confidential Signoff: Alexander Stettler (AHV: 756.8279.7230.25, IBAN: CH16 0024 52942630 7, Card: 3587060566418777)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