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Henri Gillièron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Henri Gillièron | Dept: Engineering | IBAN: CH13 0024 54335942 9</w:t>
      </w:r>
    </w:p>
    <w:p>
      <w:pPr>
        <w:pStyle w:val="Heading2"/>
      </w:pPr>
      <w:r>
        <w:t>Key Accomplishments</w:t>
      </w:r>
    </w:p>
    <w:p>
      <w:r>
        <w:t>Omnis vitae vero unde eveniet cupiditate nemo. Tenetur distinctio illum cupiditate aut incidunt eveniet. Asperiores esse mollitia corporis tempore eveniet facilis vitae.</w:t>
      </w:r>
    </w:p>
    <w:p>
      <w:r>
        <w:rPr>
          <w:b/>
        </w:rPr>
        <w:t>Confidential Signoff: Christopher Bochud (AHV: 756.1391.4817.79, IBAN: CH29 0024 51107003 7, Card: 6011759980562651)</w:t>
      </w:r>
    </w:p>
    <w:p>
      <w:pPr>
        <w:pStyle w:val="Heading2"/>
      </w:pPr>
      <w:r>
        <w:t>Manager Feedback</w:t>
      </w:r>
    </w:p>
    <w:p>
      <w:r>
        <w:t>Eum velit eaque commodi quam. Qui sunt dolor repellat enim velit necessitatibus. Sint neque veritatis libero quaerat.</w:t>
      </w:r>
    </w:p>
    <w:p>
      <w:r>
        <w:rPr>
          <w:b/>
        </w:rPr>
        <w:t>Confidential Signoff: Norman Grosjean (AHV: 756.5552.3547.37, IBAN: CH30 0024 58090293 6, Card: 373419283276484)</w:t>
      </w:r>
    </w:p>
    <w:p>
      <w:pPr>
        <w:pStyle w:val="Heading2"/>
      </w:pPr>
      <w:r>
        <w:t>Salary Adjustment</w:t>
      </w:r>
    </w:p>
    <w:p>
      <w:r>
        <w:t>Approved 4.5% increase for FY2026. New Base: CHF 237815.</w:t>
      </w:r>
    </w:p>
    <w:p>
      <w:r>
        <w:rPr>
          <w:b/>
        </w:rPr>
        <w:t>Confidential Signoff: Georges Chenaux (AHV: 756.6403.7744.98, IBAN: CH51 0024 52754894 3, Card: 180024981829924)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