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Rinaldo Atkinson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Rinaldo Atkinson | Dept: Finance | IBAN: CH95 0024 56033115 8</w:t>
      </w:r>
    </w:p>
    <w:p>
      <w:r>
        <w:rPr>
          <w:b/>
        </w:rPr>
        <w:t>Confidential Signoff: Ashley Herzog (AHV: 756.2864.6655.65, IBAN: CH44 0024 54616647 9, Card: 213154494812603)</w:t>
      </w:r>
    </w:p>
    <w:p>
      <w:pPr>
        <w:pStyle w:val="Heading2"/>
      </w:pPr>
      <w:r>
        <w:t>Key Accomplishments</w:t>
      </w:r>
    </w:p>
    <w:p>
      <w:r>
        <w:t>Placeat debitis odio. Quaerat fuga doloremque repellendus ut praesentium. Placeat voluptatum tempora pariatur. Ipsa et recusandae natus.</w:t>
      </w:r>
    </w:p>
    <w:p>
      <w:pPr>
        <w:pStyle w:val="Heading2"/>
      </w:pPr>
      <w:r>
        <w:t>Manager Feedback</w:t>
      </w:r>
    </w:p>
    <w:p>
      <w:r>
        <w:t>Teacher service record anything.</w:t>
      </w:r>
    </w:p>
    <w:p>
      <w:r>
        <w:rPr>
          <w:b/>
        </w:rPr>
        <w:t>Confidential Signoff: Ricky Schaefer (AHV: 756.3219.5991.10, IBAN: CH35 0024 58681643 2, Card: 4312797573669)</w:t>
      </w:r>
    </w:p>
    <w:p>
      <w:pPr>
        <w:pStyle w:val="Heading2"/>
      </w:pPr>
      <w:r>
        <w:t>Salary Adjustment</w:t>
      </w:r>
    </w:p>
    <w:p>
      <w:r>
        <w:t>Approved 4.5% increase for FY2026. New Base: CHF 114308.</w:t>
      </w:r>
    </w:p>
    <w:p>
      <w:r>
        <w:rPr>
          <w:b/>
        </w:rPr>
        <w:t>Confidential Signoff: Nebojsa Bucher (AHV: 756.1186.5345.36, IBAN: CH95 0024 56632941 8, Card: 180073425754099)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