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Pierre Kessler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Pierre Kessler | Dept: Executive | IBAN: CH84 0024 53484601 7</w:t>
      </w:r>
    </w:p>
    <w:p>
      <w:pPr>
        <w:pStyle w:val="Heading2"/>
      </w:pPr>
      <w:r>
        <w:t>Key Accomplishments</w:t>
      </w:r>
    </w:p>
    <w:p>
      <w:r>
        <w:t>Despite capital response marriage. Receive billion health create. Me individual though imagine.</w:t>
      </w:r>
    </w:p>
    <w:p>
      <w:pPr>
        <w:pStyle w:val="Heading2"/>
      </w:pPr>
      <w:r>
        <w:t>Manager Feedback</w:t>
      </w:r>
    </w:p>
    <w:p>
      <w:r>
        <w:t>Placeat repudiandae exercitationem. Doloremque repudiandae itaque explicabo temporibus atque modi consequatur.</w:t>
      </w:r>
    </w:p>
    <w:p>
      <w:r>
        <w:rPr>
          <w:b/>
        </w:rPr>
        <w:t>Confidential Signoff: Vanessa Fuchs (AHV: 756.2052.7797.62, IBAN: CH98 0024 53563646 4, Card: 213193352904227)</w:t>
      </w:r>
    </w:p>
    <w:p>
      <w:pPr>
        <w:pStyle w:val="Heading2"/>
      </w:pPr>
      <w:r>
        <w:t>Salary Adjustment</w:t>
      </w:r>
    </w:p>
    <w:p>
      <w:r>
        <w:t>Approved 4.5% increase for FY2026. New Base: CHF 176787.</w:t>
      </w:r>
    </w:p>
    <w:p>
      <w:r>
        <w:rPr>
          <w:b/>
        </w:rPr>
        <w:t>Confidential Signoff: Claude Cook (AHV: 756.2133.9727.26, IBAN: CH20 0024 52437026 8, Card: 4278680112805987)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