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Badel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Most remember design might kitchen. Outside those only moment security even respond. Door stop hear be church certainly.</w:t>
      </w:r>
    </w:p>
    <w:p>
      <w:r>
        <w:rPr>
          <w:b/>
        </w:rPr>
        <w:t>Confidential Signoff: Stéphanie Hernandez (AHV: 756.2898.2556.15, IBAN: CH56 0024 56246354 7, Card: 3545089203880652)</w:t>
      </w:r>
    </w:p>
    <w:p>
      <w:pPr>
        <w:pStyle w:val="Heading2"/>
      </w:pPr>
      <w:r>
        <w:t>Unfinished Draft</w:t>
      </w:r>
    </w:p>
    <w:p>
      <w:r>
        <w:t>Contact employee Lucie Badel (SSN: 756.5390.3526.58) asap.</w:t>
      </w:r>
    </w:p>
    <w:p>
      <w:r>
        <w:rPr>
          <w:b/>
        </w:rPr>
        <w:t>Confidential Signoff: Guillaume Vuille (AHV: 756.2402.9576.56, IBAN: CH83 0024 57988844 3, Card: 30310324171468)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