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A1593">
      <w:pPr>
        <w:spacing w:before="80" w:after="80"/>
      </w:pPr>
    </w:p>
    <w:p w14:paraId="05A8689B">
      <w:pPr>
        <w:spacing w:before="80" w:after="80"/>
      </w:pPr>
    </w:p>
    <w:p w14:paraId="70AB269E">
      <w:pPr>
        <w:spacing w:before="400" w:after="120"/>
        <w:jc w:val="center"/>
      </w:pPr>
      <w:r>
        <w:rPr>
          <w:rFonts w:ascii="Arial" w:hAnsi="Arial" w:eastAsia="Arial" w:cs="Arial"/>
          <w:b/>
          <w:bCs/>
          <w:color w:val="1F4E79"/>
          <w:sz w:val="56"/>
          <w:szCs w:val="56"/>
        </w:rPr>
        <w:t>eShopy</w:t>
      </w:r>
    </w:p>
    <w:p w14:paraId="229D30C5">
      <w:pPr>
        <w:spacing w:before="120" w:after="120"/>
        <w:jc w:val="center"/>
      </w:pPr>
      <w:r>
        <w:rPr>
          <w:rFonts w:ascii="Arial" w:hAnsi="Arial" w:eastAsia="Arial" w:cs="Arial"/>
          <w:b/>
          <w:bCs/>
          <w:color w:val="2E75B6"/>
          <w:sz w:val="36"/>
          <w:szCs w:val="36"/>
        </w:rPr>
        <w:t>Documento 1: Plan Base</w:t>
      </w:r>
    </w:p>
    <w:p w14:paraId="68002B88">
      <w:pPr>
        <w:spacing w:before="80" w:after="80"/>
      </w:pPr>
    </w:p>
    <w:p w14:paraId="6BD24EB8">
      <w:pPr>
        <w:jc w:val="center"/>
      </w:pPr>
      <w:r>
        <w:rPr>
          <w:rFonts w:ascii="Arial" w:hAnsi="Arial" w:eastAsia="Arial" w:cs="Arial"/>
          <w:color w:val="666666"/>
          <w:sz w:val="22"/>
          <w:szCs w:val="22"/>
        </w:rPr>
        <w:t>Version: 2.0  |  Fecha: 2026-02-17</w:t>
      </w:r>
    </w:p>
    <w:p w14:paraId="543EC651">
      <w:pPr>
        <w:spacing w:before="80" w:after="80"/>
      </w:pPr>
    </w:p>
    <w:p w14:paraId="4C619531">
      <w:pPr>
        <w:ind w:left="720" w:right="720"/>
        <w:jc w:val="center"/>
      </w:pPr>
      <w:r>
        <w:rPr>
          <w:rFonts w:ascii="Arial" w:hAnsi="Arial" w:eastAsia="Arial" w:cs="Arial"/>
          <w:i/>
          <w:iCs/>
          <w:color w:val="444444"/>
          <w:sz w:val="22"/>
          <w:szCs w:val="22"/>
        </w:rPr>
        <w:t>Definir la vision general, objetivos, alcance, stack tecnologico, arquitectura base, modelo multi-tenant y roles del sistema para el MVP (Plan Basico) de eShopy.</w:t>
      </w:r>
    </w:p>
    <w:p w14:paraId="2579D259">
      <w:pPr>
        <w:spacing w:before="80" w:after="80"/>
      </w:pPr>
    </w:p>
    <w:p w14:paraId="404F0C7F">
      <w:pPr>
        <w:spacing w:before="80" w:after="80"/>
      </w:pPr>
    </w:p>
    <w:p w14:paraId="116D4F98">
      <w:r>
        <w:br w:type="page"/>
      </w:r>
    </w:p>
    <w:p w14:paraId="0921FC80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1. Vision General</w:t>
      </w:r>
    </w:p>
    <w:p w14:paraId="6B882B6C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eShopy es una plataforma SaaS de comercio electronico</w:t>
      </w:r>
      <w:bookmarkStart w:id="0" w:name="_GoBack"/>
      <w:bookmarkEnd w:id="0"/>
      <w:r>
        <w:rPr>
          <w:rFonts w:ascii="Arial" w:hAnsi="Arial" w:eastAsia="Arial" w:cs="Arial"/>
          <w:sz w:val="22"/>
          <w:szCs w:val="22"/>
        </w:rPr>
        <w:t>, orientada inicialmente al mercado paraguayo. Permite que cada comercio (tenant) disponga de su propia tienda online bajo un subdominio, gestionando productos, pedidos y pagos de forma segura y escalable.</w:t>
      </w:r>
    </w:p>
    <w:p w14:paraId="66DA7535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El sistema esta pensado para pequenos y medianos comercios que buscan una solucion simple, rapida de implementar y con soporte para medios de pago locales.</w:t>
      </w:r>
    </w:p>
    <w:p w14:paraId="08E50E20">
      <w:pPr>
        <w:spacing w:before="80" w:after="80"/>
      </w:pPr>
    </w:p>
    <w:p w14:paraId="001C761C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2. Objetivos</w:t>
      </w:r>
    </w:p>
    <w:p w14:paraId="51CF593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Proveer una solucion de e-commerce simple, robusta y escalable.</w:t>
      </w:r>
    </w:p>
    <w:p w14:paraId="101EF5BD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Permitir onboarding rapido y self-service de comercios (sin intervencion manual).</w:t>
      </w:r>
    </w:p>
    <w:p w14:paraId="68BE1DA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Soportar pagos locales (Bancard, PagoPar).</w:t>
      </w:r>
    </w:p>
    <w:p w14:paraId="08B28267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Disenyar una arquitectura mantenible que soporte evolucion hacia planes superiores (Gold, Diamond).</w:t>
      </w:r>
    </w:p>
    <w:p w14:paraId="368DF06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Backend como fuente de verdad: todas las reglas de negocio y validaciones residen en el backend.</w:t>
      </w:r>
    </w:p>
    <w:p w14:paraId="27E3299E">
      <w:pPr>
        <w:spacing w:before="80" w:after="80"/>
      </w:pPr>
    </w:p>
    <w:p w14:paraId="64B07738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3. Alcance del Plan Basico (MVP)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55D02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1B44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42255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Incluido en MVP</w:t>
            </w:r>
          </w:p>
        </w:tc>
      </w:tr>
      <w:tr w14:paraId="7C31E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FDB0">
            <w:r>
              <w:rPr>
                <w:rFonts w:ascii="Arial" w:hAnsi="Arial" w:eastAsia="Arial" w:cs="Arial"/>
                <w:sz w:val="20"/>
                <w:szCs w:val="20"/>
              </w:rPr>
              <w:t>Multi-tenancy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2FF94">
            <w:r>
              <w:rPr>
                <w:rFonts w:ascii="Arial" w:hAnsi="Arial" w:eastAsia="Arial" w:cs="Arial"/>
                <w:sz w:val="20"/>
                <w:szCs w:val="20"/>
              </w:rPr>
              <w:t>Por subdominio/host. Aislamiento por TenantId en datos.</w:t>
            </w:r>
          </w:p>
        </w:tc>
      </w:tr>
      <w:tr w14:paraId="13DE0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5790">
            <w:r>
              <w:rPr>
                <w:rFonts w:ascii="Arial" w:hAnsi="Arial" w:eastAsia="Arial" w:cs="Arial"/>
                <w:sz w:val="20"/>
                <w:szCs w:val="20"/>
              </w:rPr>
              <w:t>Catalogo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D563">
            <w:r>
              <w:rPr>
                <w:rFonts w:ascii="Arial" w:hAnsi="Arial" w:eastAsia="Arial" w:cs="Arial"/>
                <w:sz w:val="20"/>
                <w:szCs w:val="20"/>
              </w:rPr>
              <w:t>CRUD de productos con estados Draft/Active/Archived. Stock obligatorio.</w:t>
            </w:r>
          </w:p>
        </w:tc>
      </w:tr>
      <w:tr w14:paraId="62B7D1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9E0BA">
            <w:r>
              <w:rPr>
                <w:rFonts w:ascii="Arial" w:hAnsi="Arial" w:eastAsia="Arial" w:cs="Arial"/>
                <w:sz w:val="20"/>
                <w:szCs w:val="20"/>
              </w:rPr>
              <w:t>Carrito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1E591">
            <w:r>
              <w:rPr>
                <w:rFonts w:ascii="Arial" w:hAnsi="Arial" w:eastAsia="Arial" w:cs="Arial"/>
                <w:sz w:val="20"/>
                <w:szCs w:val="20"/>
              </w:rPr>
              <w:t>Anonimo con CartToken. Persistencia server-side.</w:t>
            </w:r>
          </w:p>
        </w:tc>
      </w:tr>
      <w:tr w14:paraId="72D95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E04E">
            <w:r>
              <w:rPr>
                <w:rFonts w:ascii="Arial" w:hAnsi="Arial" w:eastAsia="Arial" w:cs="Arial"/>
                <w:sz w:val="20"/>
                <w:szCs w:val="20"/>
              </w:rPr>
              <w:t>Checkout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F62D5">
            <w:r>
              <w:rPr>
                <w:rFonts w:ascii="Arial" w:hAnsi="Arial" w:eastAsia="Arial" w:cs="Arial"/>
                <w:sz w:val="20"/>
                <w:szCs w:val="20"/>
              </w:rPr>
              <w:t>Captura de datos del comprador. Creacion de Order con snapshot de precios.</w:t>
            </w:r>
          </w:p>
        </w:tc>
      </w:tr>
      <w:tr w14:paraId="0DCB41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7E00C">
            <w:r>
              <w:rPr>
                <w:rFonts w:ascii="Arial" w:hAnsi="Arial" w:eastAsia="Arial" w:cs="Arial"/>
                <w:sz w:val="20"/>
                <w:szCs w:val="20"/>
              </w:rPr>
              <w:t>Pagos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BC28">
            <w:r>
              <w:rPr>
                <w:rFonts w:ascii="Arial" w:hAnsi="Arial" w:eastAsia="Arial" w:cs="Arial"/>
                <w:sz w:val="20"/>
                <w:szCs w:val="20"/>
              </w:rPr>
              <w:t>Integracion con Bancard y/o PagoPar. Webhooks idempotentes.</w:t>
            </w:r>
          </w:p>
        </w:tc>
      </w:tr>
      <w:tr w14:paraId="33276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21B2D">
            <w:r>
              <w:rPr>
                <w:rFonts w:ascii="Arial" w:hAnsi="Arial" w:eastAsia="Arial" w:cs="Arial"/>
                <w:sz w:val="20"/>
                <w:szCs w:val="20"/>
              </w:rPr>
              <w:t>Admin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1D69C">
            <w:r>
              <w:rPr>
                <w:rFonts w:ascii="Arial" w:hAnsi="Arial" w:eastAsia="Arial" w:cs="Arial"/>
                <w:sz w:val="20"/>
                <w:szCs w:val="20"/>
              </w:rPr>
              <w:t>Panel de administracion para el tenant (catalogo, pedidos, configuracion).</w:t>
            </w:r>
          </w:p>
        </w:tc>
      </w:tr>
      <w:tr w14:paraId="3730B4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E8AED">
            <w:r>
              <w:rPr>
                <w:rFonts w:ascii="Arial" w:hAnsi="Arial" w:eastAsia="Arial" w:cs="Arial"/>
                <w:sz w:val="20"/>
                <w:szCs w:val="20"/>
              </w:rPr>
              <w:t>Storefront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A9DD4">
            <w:r>
              <w:rPr>
                <w:rFonts w:ascii="Arial" w:hAnsi="Arial" w:eastAsia="Arial" w:cs="Arial"/>
                <w:sz w:val="20"/>
                <w:szCs w:val="20"/>
              </w:rPr>
              <w:t>Tienda publica del tenant (catalogo, producto, carrito, checkout).</w:t>
            </w:r>
          </w:p>
        </w:tc>
      </w:tr>
      <w:tr w14:paraId="00947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DD66">
            <w:r>
              <w:rPr>
                <w:rFonts w:ascii="Arial" w:hAnsi="Arial" w:eastAsia="Arial" w:cs="Arial"/>
                <w:sz w:val="20"/>
                <w:szCs w:val="20"/>
              </w:rPr>
              <w:t>Autenticacion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71022">
            <w:r>
              <w:rPr>
                <w:rFonts w:ascii="Arial" w:hAnsi="Arial" w:eastAsia="Arial" w:cs="Arial"/>
                <w:sz w:val="20"/>
                <w:szCs w:val="20"/>
              </w:rPr>
              <w:t>Keycloak (OIDC) para el Admin. Storefront anonimo en MVP.</w:t>
            </w:r>
          </w:p>
        </w:tc>
      </w:tr>
      <w:tr w14:paraId="1E7FC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A40E2">
            <w:r>
              <w:rPr>
                <w:rFonts w:ascii="Arial" w:hAnsi="Arial" w:eastAsia="Arial" w:cs="Arial"/>
                <w:sz w:val="20"/>
                <w:szCs w:val="20"/>
              </w:rPr>
              <w:t>Suscripcion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F8C88">
            <w:r>
              <w:rPr>
                <w:rFonts w:ascii="Arial" w:hAnsi="Arial" w:eastAsia="Arial" w:cs="Arial"/>
                <w:sz w:val="20"/>
                <w:szCs w:val="20"/>
              </w:rPr>
              <w:t>Pago mensual obligatorio para activar el tenant. Plan Basico.</w:t>
            </w:r>
          </w:p>
        </w:tc>
      </w:tr>
      <w:tr w14:paraId="022089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B3C8">
            <w:r>
              <w:rPr>
                <w:rFonts w:ascii="Arial" w:hAnsi="Arial" w:eastAsia="Arial" w:cs="Arial"/>
                <w:sz w:val="20"/>
                <w:szCs w:val="20"/>
              </w:rPr>
              <w:t>Observabilidad</w:t>
            </w:r>
          </w:p>
        </w:tc>
        <w:tc>
          <w:tcPr>
            <w:tcW w:w="6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E32D0">
            <w:r>
              <w:rPr>
                <w:rFonts w:ascii="Arial" w:hAnsi="Arial" w:eastAsia="Arial" w:cs="Arial"/>
                <w:sz w:val="20"/>
                <w:szCs w:val="20"/>
              </w:rPr>
              <w:t>Logging estructurado (Serilog), OpenTelemetry, AuditLog.</w:t>
            </w:r>
          </w:p>
        </w:tc>
      </w:tr>
    </w:tbl>
    <w:p w14:paraId="683CFE6F">
      <w:pPr>
        <w:spacing w:before="80" w:after="80"/>
      </w:pPr>
    </w:p>
    <w:p w14:paraId="1F6D3015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3.1 Fuera de Alcance (Plan Basico)</w:t>
      </w:r>
    </w:p>
    <w:p w14:paraId="5EDC8C6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Inventario avanzado (movimientos, alertas, multi-almacen).</w:t>
      </w:r>
    </w:p>
    <w:p w14:paraId="644DB49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Multi-sucursal.</w:t>
      </w:r>
    </w:p>
    <w:p w14:paraId="7EDAEC90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Facturacion electronica.</w:t>
      </w:r>
    </w:p>
    <w:p w14:paraId="25A04294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Integraciones contables.</w:t>
      </w:r>
    </w:p>
    <w:p w14:paraId="7CE803F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SSO corporativo (Azure AD).</w:t>
      </w:r>
    </w:p>
    <w:p w14:paraId="4674D41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Variantes de producto (talles, colores). Ver Documento 9.</w:t>
      </w:r>
    </w:p>
    <w:p w14:paraId="6C13E53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Cupones y promociones.</w:t>
      </w:r>
    </w:p>
    <w:p w14:paraId="7E8E9A4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Reportes avanzados.</w:t>
      </w:r>
    </w:p>
    <w:p w14:paraId="5728FD3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Autenticacion de compradores (buyer auth).</w:t>
      </w:r>
    </w:p>
    <w:p w14:paraId="5707BC21">
      <w:pPr>
        <w:spacing w:before="80" w:after="80"/>
      </w:pPr>
    </w:p>
    <w:p w14:paraId="5DEA98B0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4. Stack Tecnologico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2200"/>
        <w:gridCol w:w="1400"/>
        <w:gridCol w:w="3960"/>
      </w:tblGrid>
      <w:tr w14:paraId="5C61C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8E25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98E8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Tecnologia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A6A33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9890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</w:t>
            </w:r>
          </w:p>
        </w:tc>
      </w:tr>
      <w:tr w14:paraId="3BAB4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5B3B7">
            <w:r>
              <w:rPr>
                <w:rFonts w:ascii="Arial" w:hAnsi="Arial" w:eastAsia="Arial" w:cs="Arial"/>
                <w:sz w:val="20"/>
                <w:szCs w:val="20"/>
              </w:rPr>
              <w:t>Backend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EBF6F">
            <w:r>
              <w:rPr>
                <w:rFonts w:ascii="Arial" w:hAnsi="Arial" w:eastAsia="Arial" w:cs="Arial"/>
                <w:sz w:val="20"/>
                <w:szCs w:val="20"/>
              </w:rPr>
              <w:t>.NET / ASP.NET Core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3575">
            <w:r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70A52">
            <w:r>
              <w:rPr>
                <w:rFonts w:ascii="Arial" w:hAnsi="Arial" w:eastAsia="Arial" w:cs="Arial"/>
                <w:sz w:val="20"/>
                <w:szCs w:val="20"/>
              </w:rPr>
              <w:t>API host, middleware pipeline, controllers.</w:t>
            </w:r>
          </w:p>
        </w:tc>
      </w:tr>
      <w:tr w14:paraId="108914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3FCBD">
            <w:r>
              <w:rPr>
                <w:rFonts w:ascii="Arial" w:hAnsi="Arial" w:eastAsia="Arial" w:cs="Arial"/>
                <w:sz w:val="20"/>
                <w:szCs w:val="20"/>
              </w:rPr>
              <w:t>ORM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FACBF">
            <w:r>
              <w:rPr>
                <w:rFonts w:ascii="Arial" w:hAnsi="Arial" w:eastAsia="Arial" w:cs="Arial"/>
                <w:sz w:val="20"/>
                <w:szCs w:val="20"/>
              </w:rPr>
              <w:t>Entity Framework Core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8E99A">
            <w:r>
              <w:rPr>
                <w:rFonts w:ascii="Arial" w:hAnsi="Arial" w:eastAsia="Arial" w:cs="Arial"/>
                <w:sz w:val="20"/>
                <w:szCs w:val="20"/>
              </w:rPr>
              <w:t>10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03C43">
            <w:r>
              <w:rPr>
                <w:rFonts w:ascii="Arial" w:hAnsi="Arial" w:eastAsia="Arial" w:cs="Arial"/>
                <w:sz w:val="20"/>
                <w:szCs w:val="20"/>
              </w:rPr>
              <w:t>Persistencia SQL Server con global query filters.</w:t>
            </w:r>
          </w:p>
        </w:tc>
      </w:tr>
      <w:tr w14:paraId="04662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C9788">
            <w:r>
              <w:rPr>
                <w:rFonts w:ascii="Arial" w:hAnsi="Arial" w:eastAsia="Arial" w:cs="Arial"/>
                <w:sz w:val="20"/>
                <w:szCs w:val="20"/>
              </w:rPr>
              <w:t>Base de datos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4E79B">
            <w:r>
              <w:rPr>
                <w:rFonts w:ascii="Arial" w:hAnsi="Arial" w:eastAsia="Arial" w:cs="Arial"/>
                <w:sz w:val="20"/>
                <w:szCs w:val="20"/>
              </w:rPr>
              <w:t>SQL Server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6125">
            <w:r>
              <w:rPr>
                <w:rFonts w:ascii="Arial" w:hAnsi="Arial" w:eastAsia="Arial" w:cs="Arial"/>
                <w:sz w:val="20"/>
                <w:szCs w:val="20"/>
              </w:rPr>
              <w:t>2019+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70D1">
            <w:r>
              <w:rPr>
                <w:rFonts w:ascii="Arial" w:hAnsi="Arial" w:eastAsia="Arial" w:cs="Arial"/>
                <w:sz w:val="20"/>
                <w:szCs w:val="20"/>
              </w:rPr>
              <w:t>Persistencia principal multi-tenant.</w:t>
            </w:r>
          </w:p>
        </w:tc>
      </w:tr>
      <w:tr w14:paraId="363063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9DE7F">
            <w:r>
              <w:rPr>
                <w:rFonts w:ascii="Arial" w:hAnsi="Arial" w:eastAsia="Arial" w:cs="Arial"/>
                <w:sz w:val="20"/>
                <w:szCs w:val="20"/>
              </w:rPr>
              <w:t>Identity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96DA3">
            <w:r>
              <w:rPr>
                <w:rFonts w:ascii="Arial" w:hAnsi="Arial" w:eastAsia="Arial" w:cs="Arial"/>
                <w:sz w:val="20"/>
                <w:szCs w:val="20"/>
              </w:rPr>
              <w:t>Keycloak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B3959">
            <w:r>
              <w:rPr>
                <w:rFonts w:ascii="Arial" w:hAnsi="Arial" w:eastAsia="Arial" w:cs="Arial"/>
                <w:sz w:val="20"/>
                <w:szCs w:val="20"/>
              </w:rPr>
              <w:t>24+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930E">
            <w:r>
              <w:rPr>
                <w:rFonts w:ascii="Arial" w:hAnsi="Arial" w:eastAsia="Arial" w:cs="Arial"/>
                <w:sz w:val="20"/>
                <w:szCs w:val="20"/>
              </w:rPr>
              <w:t>AuthN OIDC + RBAC. Roles por tenant y globales.</w:t>
            </w:r>
          </w:p>
        </w:tc>
      </w:tr>
      <w:tr w14:paraId="04DE4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925F3">
            <w:r>
              <w:rPr>
                <w:rFonts w:ascii="Arial" w:hAnsi="Arial" w:eastAsia="Arial" w:cs="Arial"/>
                <w:sz w:val="20"/>
                <w:szCs w:val="20"/>
              </w:rPr>
              <w:t>Validacion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20D5D">
            <w:r>
              <w:rPr>
                <w:rFonts w:ascii="Arial" w:hAnsi="Arial" w:eastAsia="Arial" w:cs="Arial"/>
                <w:sz w:val="20"/>
                <w:szCs w:val="20"/>
              </w:rPr>
              <w:t>FluentValidation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69291">
            <w:r>
              <w:rPr>
                <w:rFonts w:ascii="Arial" w:hAnsi="Arial" w:eastAsia="Arial" w:cs="Arial"/>
                <w:sz w:val="20"/>
                <w:szCs w:val="20"/>
              </w:rPr>
              <w:t>11+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5E7EE">
            <w:r>
              <w:rPr>
                <w:rFonts w:ascii="Arial" w:hAnsi="Arial" w:eastAsia="Arial" w:cs="Arial"/>
                <w:sz w:val="20"/>
                <w:szCs w:val="20"/>
              </w:rPr>
              <w:t>Validacion de requests en capa Application.</w:t>
            </w:r>
          </w:p>
        </w:tc>
      </w:tr>
      <w:tr w14:paraId="2FE37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A8BE">
            <w:r>
              <w:rPr>
                <w:rFonts w:ascii="Arial" w:hAnsi="Arial" w:eastAsia="Arial" w:cs="Arial"/>
                <w:sz w:val="20"/>
                <w:szCs w:val="20"/>
              </w:rPr>
              <w:t>Logging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ABC8">
            <w:r>
              <w:rPr>
                <w:rFonts w:ascii="Arial" w:hAnsi="Arial" w:eastAsia="Arial" w:cs="Arial"/>
                <w:sz w:val="20"/>
                <w:szCs w:val="20"/>
              </w:rPr>
              <w:t>Serilog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BD0A">
            <w:r>
              <w:rPr>
                <w:rFonts w:ascii="Arial" w:hAnsi="Arial" w:eastAsia="Arial" w:cs="Arial"/>
                <w:sz w:val="20"/>
                <w:szCs w:val="20"/>
              </w:rPr>
              <w:t>4+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2159E">
            <w:r>
              <w:rPr>
                <w:rFonts w:ascii="Arial" w:hAnsi="Arial" w:eastAsia="Arial" w:cs="Arial"/>
                <w:sz w:val="20"/>
                <w:szCs w:val="20"/>
              </w:rPr>
              <w:t>JSON estructurado con enrichers.</w:t>
            </w:r>
          </w:p>
        </w:tc>
      </w:tr>
      <w:tr w14:paraId="14D35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A3CDC">
            <w:r>
              <w:rPr>
                <w:rFonts w:ascii="Arial" w:hAnsi="Arial" w:eastAsia="Arial" w:cs="Arial"/>
                <w:sz w:val="20"/>
                <w:szCs w:val="20"/>
              </w:rPr>
              <w:t>Observabilidad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52533">
            <w:r>
              <w:rPr>
                <w:rFonts w:ascii="Arial" w:hAnsi="Arial" w:eastAsia="Arial" w:cs="Arial"/>
                <w:sz w:val="20"/>
                <w:szCs w:val="20"/>
              </w:rPr>
              <w:t>OpenTelemetry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398E1">
            <w:r>
              <w:rPr>
                <w:rFonts w:ascii="Arial" w:hAnsi="Arial" w:eastAsia="Arial" w:cs="Arial"/>
                <w:sz w:val="20"/>
                <w:szCs w:val="20"/>
              </w:rPr>
              <w:t>1+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F212E">
            <w:r>
              <w:rPr>
                <w:rFonts w:ascii="Arial" w:hAnsi="Arial" w:eastAsia="Arial" w:cs="Arial"/>
                <w:sz w:val="20"/>
                <w:szCs w:val="20"/>
              </w:rPr>
              <w:t>Traces y metricas. Exportable a Jaeger/OTEL.</w:t>
            </w:r>
          </w:p>
        </w:tc>
      </w:tr>
      <w:tr w14:paraId="24A06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037AE">
            <w:r>
              <w:rPr>
                <w:rFonts w:ascii="Arial" w:hAnsi="Arial" w:eastAsia="Arial" w:cs="Arial"/>
                <w:sz w:val="20"/>
                <w:szCs w:val="20"/>
              </w:rPr>
              <w:t>Documentacion API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59957">
            <w:r>
              <w:rPr>
                <w:rFonts w:ascii="Arial" w:hAnsi="Arial" w:eastAsia="Arial" w:cs="Arial"/>
                <w:sz w:val="20"/>
                <w:szCs w:val="20"/>
              </w:rPr>
              <w:t>Swashbuckle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BE64A">
            <w:r>
              <w:rPr>
                <w:rFonts w:ascii="Arial" w:hAnsi="Arial" w:eastAsia="Arial" w:cs="Arial"/>
                <w:sz w:val="20"/>
                <w:szCs w:val="20"/>
              </w:rPr>
              <w:t>7+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33CC4">
            <w:r>
              <w:rPr>
                <w:rFonts w:ascii="Arial" w:hAnsi="Arial" w:eastAsia="Arial" w:cs="Arial"/>
                <w:sz w:val="20"/>
                <w:szCs w:val="20"/>
              </w:rPr>
              <w:t>Swagger UI + OpenAPI 3.</w:t>
            </w:r>
          </w:p>
        </w:tc>
      </w:tr>
      <w:tr w14:paraId="1BF1BE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95825">
            <w:r>
              <w:rPr>
                <w:rFonts w:ascii="Arial" w:hAnsi="Arial" w:eastAsia="Arial" w:cs="Arial"/>
                <w:sz w:val="20"/>
                <w:szCs w:val="20"/>
              </w:rPr>
              <w:t>Cache / Rate limit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AADB">
            <w:r>
              <w:rPr>
                <w:rFonts w:ascii="Arial" w:hAnsi="Arial" w:eastAsia="Arial" w:cs="Arial"/>
                <w:sz w:val="20"/>
                <w:szCs w:val="20"/>
              </w:rPr>
              <w:t>Redis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1D3F">
            <w:r>
              <w:rPr>
                <w:rFonts w:ascii="Arial" w:hAnsi="Arial" w:eastAsia="Arial" w:cs="Arial"/>
                <w:sz w:val="20"/>
                <w:szCs w:val="20"/>
              </w:rPr>
              <w:t>7+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6963B">
            <w:r>
              <w:rPr>
                <w:rFonts w:ascii="Arial" w:hAnsi="Arial" w:eastAsia="Arial" w:cs="Arial"/>
                <w:sz w:val="20"/>
                <w:szCs w:val="20"/>
              </w:rPr>
              <w:t>Opcional MVP. Cache tenant y rate limiting.</w:t>
            </w:r>
          </w:p>
        </w:tc>
      </w:tr>
      <w:tr w14:paraId="73A7F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9294">
            <w:r>
              <w:rPr>
                <w:rFonts w:ascii="Arial" w:hAnsi="Arial" w:eastAsia="Arial" w:cs="Arial"/>
                <w:sz w:val="20"/>
                <w:szCs w:val="20"/>
              </w:rPr>
              <w:t>Frontend Admin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8D7D8">
            <w:r>
              <w:rPr>
                <w:rFonts w:ascii="Arial" w:hAnsi="Arial" w:eastAsia="Arial" w:cs="Arial"/>
                <w:sz w:val="20"/>
                <w:szCs w:val="20"/>
              </w:rPr>
              <w:t>Angular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83B23">
            <w:r>
              <w:rPr>
                <w:rFonts w:ascii="Arial" w:hAnsi="Arial" w:eastAsia="Arial" w:cs="Arial"/>
                <w:sz w:val="20"/>
                <w:szCs w:val="20"/>
              </w:rPr>
              <w:t>18+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B15A1">
            <w:r>
              <w:rPr>
                <w:rFonts w:ascii="Arial" w:hAnsi="Arial" w:eastAsia="Arial" w:cs="Arial"/>
                <w:sz w:val="20"/>
                <w:szCs w:val="20"/>
              </w:rPr>
              <w:t>Panel de administracion del tenant.</w:t>
            </w:r>
          </w:p>
        </w:tc>
      </w:tr>
      <w:tr w14:paraId="64109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BE0DB">
            <w:r>
              <w:rPr>
                <w:rFonts w:ascii="Arial" w:hAnsi="Arial" w:eastAsia="Arial" w:cs="Arial"/>
                <w:sz w:val="20"/>
                <w:szCs w:val="20"/>
              </w:rPr>
              <w:t>Frontend Store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70E2A">
            <w:r>
              <w:rPr>
                <w:rFonts w:ascii="Arial" w:hAnsi="Arial" w:eastAsia="Arial" w:cs="Arial"/>
                <w:sz w:val="20"/>
                <w:szCs w:val="20"/>
              </w:rPr>
              <w:t>Angular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73799">
            <w:r>
              <w:rPr>
                <w:rFonts w:ascii="Arial" w:hAnsi="Arial" w:eastAsia="Arial" w:cs="Arial"/>
                <w:sz w:val="20"/>
                <w:szCs w:val="20"/>
              </w:rPr>
              <w:t>18+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AAC8E">
            <w:r>
              <w:rPr>
                <w:rFonts w:ascii="Arial" w:hAnsi="Arial" w:eastAsia="Arial" w:cs="Arial"/>
                <w:sz w:val="20"/>
                <w:szCs w:val="20"/>
              </w:rPr>
              <w:t>Tienda publica del tenant.</w:t>
            </w:r>
          </w:p>
        </w:tc>
      </w:tr>
      <w:tr w14:paraId="123442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BC4DF">
            <w:r>
              <w:rPr>
                <w:rFonts w:ascii="Arial" w:hAnsi="Arial" w:eastAsia="Arial" w:cs="Arial"/>
                <w:sz w:val="20"/>
                <w:szCs w:val="20"/>
              </w:rPr>
              <w:t>Tests</w:t>
            </w:r>
          </w:p>
        </w:tc>
        <w:tc>
          <w:tcPr>
            <w:tcW w:w="2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C3ACC">
            <w:r>
              <w:rPr>
                <w:rFonts w:ascii="Arial" w:hAnsi="Arial" w:eastAsia="Arial" w:cs="Arial"/>
                <w:sz w:val="20"/>
                <w:szCs w:val="20"/>
              </w:rPr>
              <w:t>xUnit + Testcontainers</w:t>
            </w:r>
          </w:p>
        </w:tc>
        <w:tc>
          <w:tcPr>
            <w:tcW w:w="1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65D43">
            <w:r>
              <w:rPr>
                <w:rFonts w:ascii="Arial" w:hAnsi="Arial" w:eastAsia="Arial" w:cs="Arial"/>
                <w:sz w:val="20"/>
                <w:szCs w:val="20"/>
              </w:rPr>
              <w:t>Latest</w:t>
            </w:r>
          </w:p>
        </w:tc>
        <w:tc>
          <w:tcPr>
            <w:tcW w:w="39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7AE1">
            <w:r>
              <w:rPr>
                <w:rFonts w:ascii="Arial" w:hAnsi="Arial" w:eastAsia="Arial" w:cs="Arial"/>
                <w:sz w:val="20"/>
                <w:szCs w:val="20"/>
              </w:rPr>
              <w:t>Unitarios e integracion con DB real.</w:t>
            </w:r>
          </w:p>
        </w:tc>
      </w:tr>
    </w:tbl>
    <w:p w14:paraId="16C28D62">
      <w:pPr>
        <w:spacing w:before="80" w:after="80"/>
      </w:pPr>
    </w:p>
    <w:p w14:paraId="33AF732B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5. Arquitectura General</w:t>
      </w:r>
    </w:p>
    <w:p w14:paraId="44558F9F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El sistema se implementa como un monolito modular con .NET 10. Un unico despliegue con modulos desacoplados por frontera de dominio. Esta decision es deliberada para el tamano actual del equipo y el estado del proyecto.</w:t>
      </w:r>
    </w:p>
    <w:p w14:paraId="082FF380">
      <w:pPr>
        <w:spacing w:before="80" w:after="8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200"/>
        <w:gridCol w:w="5760"/>
      </w:tblGrid>
      <w:tr w14:paraId="4895B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79DF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Patron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562DB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B215F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Justificacion</w:t>
            </w:r>
          </w:p>
        </w:tc>
      </w:tr>
      <w:tr w14:paraId="712F4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A6E84">
            <w:r>
              <w:rPr>
                <w:rFonts w:ascii="Arial" w:hAnsi="Arial" w:eastAsia="Arial" w:cs="Arial"/>
                <w:sz w:val="20"/>
                <w:szCs w:val="20"/>
              </w:rPr>
              <w:t>Monolito modular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03A7">
            <w:r>
              <w:rPr>
                <w:rFonts w:ascii="Arial" w:hAnsi="Arial" w:eastAsia="Arial" w:cs="Arial"/>
                <w:sz w:val="20"/>
                <w:szCs w:val="20"/>
              </w:rPr>
              <w:t>SI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0E5AE">
            <w:r>
              <w:rPr>
                <w:rFonts w:ascii="Arial" w:hAnsi="Arial" w:eastAsia="Arial" w:cs="Arial"/>
                <w:sz w:val="20"/>
                <w:szCs w:val="20"/>
              </w:rPr>
              <w:t>Un equipo. Un despliegue. Menor complejidad operativa. Evolucionable a microservicios si escala.</w:t>
            </w:r>
          </w:p>
        </w:tc>
      </w:tr>
      <w:tr w14:paraId="675BD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BF4D">
            <w:r>
              <w:rPr>
                <w:rFonts w:ascii="Arial" w:hAnsi="Arial" w:eastAsia="Arial" w:cs="Arial"/>
                <w:sz w:val="20"/>
                <w:szCs w:val="20"/>
              </w:rPr>
              <w:t>Clean Architecture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AD2AD">
            <w:r>
              <w:rPr>
                <w:rFonts w:ascii="Arial" w:hAnsi="Arial" w:eastAsia="Arial" w:cs="Arial"/>
                <w:sz w:val="20"/>
                <w:szCs w:val="20"/>
              </w:rPr>
              <w:t>SI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035C">
            <w:r>
              <w:rPr>
                <w:rFonts w:ascii="Arial" w:hAnsi="Arial" w:eastAsia="Arial" w:cs="Arial"/>
                <w:sz w:val="20"/>
                <w:szCs w:val="20"/>
              </w:rPr>
              <w:t>Separacion clara de capas. Domain sin dependencias externas. Application orquesta.</w:t>
            </w:r>
          </w:p>
        </w:tc>
      </w:tr>
      <w:tr w14:paraId="484C44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DB61C">
            <w:r>
              <w:rPr>
                <w:rFonts w:ascii="Arial" w:hAnsi="Arial" w:eastAsia="Arial" w:cs="Arial"/>
                <w:sz w:val="20"/>
                <w:szCs w:val="20"/>
              </w:rPr>
              <w:t>Vertical Slices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93E2">
            <w:r>
              <w:rPr>
                <w:rFonts w:ascii="Arial" w:hAnsi="Arial" w:eastAsia="Arial" w:cs="Arial"/>
                <w:sz w:val="20"/>
                <w:szCs w:val="20"/>
              </w:rPr>
              <w:t>SI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55AB">
            <w:r>
              <w:rPr>
                <w:rFonts w:ascii="Arial" w:hAnsi="Arial" w:eastAsia="Arial" w:cs="Arial"/>
                <w:sz w:val="20"/>
                <w:szCs w:val="20"/>
              </w:rPr>
              <w:t>Casos de uso como unidades de entrega. Cada feature es autocontenido.</w:t>
            </w:r>
          </w:p>
        </w:tc>
      </w:tr>
      <w:tr w14:paraId="12A82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8D807">
            <w:r>
              <w:rPr>
                <w:rFonts w:ascii="Arial" w:hAnsi="Arial" w:eastAsia="Arial" w:cs="Arial"/>
                <w:sz w:val="20"/>
                <w:szCs w:val="20"/>
              </w:rPr>
              <w:t>CQRS ligero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11752">
            <w:r>
              <w:rPr>
                <w:rFonts w:ascii="Arial" w:hAnsi="Arial" w:eastAsia="Arial" w:cs="Arial"/>
                <w:sz w:val="20"/>
                <w:szCs w:val="20"/>
              </w:rPr>
              <w:t>SI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C0872">
            <w:r>
              <w:rPr>
                <w:rFonts w:ascii="Arial" w:hAnsi="Arial" w:eastAsia="Arial" w:cs="Arial"/>
                <w:sz w:val="20"/>
                <w:szCs w:val="20"/>
              </w:rPr>
              <w:t>Commands y Queries separados por modulo. Sin MediatR en MVP (opcional post-MVP).</w:t>
            </w:r>
          </w:p>
        </w:tc>
      </w:tr>
      <w:tr w14:paraId="168255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8F1C">
            <w:r>
              <w:rPr>
                <w:rFonts w:ascii="Arial" w:hAnsi="Arial" w:eastAsia="Arial" w:cs="Arial"/>
                <w:sz w:val="20"/>
                <w:szCs w:val="20"/>
              </w:rPr>
              <w:t>Microservicios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1B4E5">
            <w:r>
              <w:rPr>
                <w:rFonts w:ascii="Arial" w:hAnsi="Arial" w:eastAsia="Arial" w:cs="Arial"/>
                <w:sz w:val="20"/>
                <w:szCs w:val="20"/>
              </w:rPr>
              <w:t>NO (MVP)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D2FD7">
            <w:r>
              <w:rPr>
                <w:rFonts w:ascii="Arial" w:hAnsi="Arial" w:eastAsia="Arial" w:cs="Arial"/>
                <w:sz w:val="20"/>
                <w:szCs w:val="20"/>
              </w:rPr>
              <w:t>Complejidad innecesaria para un equipo de 1 persona en esta etapa.</w:t>
            </w:r>
          </w:p>
        </w:tc>
      </w:tr>
      <w:tr w14:paraId="12B41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AD2E9">
            <w:r>
              <w:rPr>
                <w:rFonts w:ascii="Arial" w:hAnsi="Arial" w:eastAsia="Arial" w:cs="Arial"/>
                <w:sz w:val="20"/>
                <w:szCs w:val="20"/>
              </w:rPr>
              <w:t>Event Sourcing</w:t>
            </w:r>
          </w:p>
        </w:tc>
        <w:tc>
          <w:tcPr>
            <w:tcW w:w="12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70B66">
            <w:r>
              <w:rPr>
                <w:rFonts w:ascii="Arial" w:hAnsi="Arial" w:eastAsia="Arial" w:cs="Arial"/>
                <w:sz w:val="20"/>
                <w:szCs w:val="20"/>
              </w:rPr>
              <w:t>NO (MVP)</w:t>
            </w:r>
          </w:p>
        </w:tc>
        <w:tc>
          <w:tcPr>
            <w:tcW w:w="57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91C66">
            <w:r>
              <w:rPr>
                <w:rFonts w:ascii="Arial" w:hAnsi="Arial" w:eastAsia="Arial" w:cs="Arial"/>
                <w:sz w:val="20"/>
                <w:szCs w:val="20"/>
              </w:rPr>
              <w:t>Outbox pattern post-MVP si se requiere consistencia eventual.</w:t>
            </w:r>
          </w:p>
        </w:tc>
      </w:tr>
    </w:tbl>
    <w:p w14:paraId="79F317CD">
      <w:pPr>
        <w:spacing w:before="80" w:after="80"/>
      </w:pPr>
    </w:p>
    <w:p w14:paraId="14E0F414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5.1 Capas del sistema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790"/>
        <w:gridCol w:w="2486"/>
        <w:gridCol w:w="5084"/>
      </w:tblGrid>
      <w:tr w14:paraId="2CC62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143DE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Capa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9C01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Proyecto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D62F7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</w:tr>
      <w:tr w14:paraId="1D122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76969">
            <w:r>
              <w:rPr>
                <w:rFonts w:ascii="Arial" w:hAnsi="Arial" w:eastAsia="Arial" w:cs="Arial"/>
                <w:sz w:val="20"/>
                <w:szCs w:val="20"/>
              </w:rPr>
              <w:t>API / Host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A59D9">
            <w:r>
              <w:rPr>
                <w:rFonts w:ascii="Arial" w:hAnsi="Arial" w:eastAsia="Arial" w:cs="Arial"/>
                <w:sz w:val="20"/>
                <w:szCs w:val="20"/>
              </w:rPr>
              <w:t>EShopy.Api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7D5C3">
            <w:r>
              <w:rPr>
                <w:rFonts w:ascii="Arial" w:hAnsi="Arial" w:eastAsia="Arial" w:cs="Arial"/>
                <w:sz w:val="20"/>
                <w:szCs w:val="20"/>
              </w:rPr>
              <w:t>Controllers thin, middleware pipeline, Swagger, DI setup.</w:t>
            </w:r>
          </w:p>
        </w:tc>
      </w:tr>
      <w:tr w14:paraId="35CB2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C957B">
            <w:r>
              <w:rPr>
                <w:rFonts w:ascii="Arial" w:hAnsi="Arial" w:eastAsia="Arial" w:cs="Arial"/>
                <w:sz w:val="20"/>
                <w:szCs w:val="20"/>
              </w:rPr>
              <w:t>Application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2860A">
            <w:r>
              <w:rPr>
                <w:rFonts w:ascii="Arial" w:hAnsi="Arial" w:eastAsia="Arial" w:cs="Arial"/>
                <w:sz w:val="20"/>
                <w:szCs w:val="20"/>
              </w:rPr>
              <w:t>EShopy.Application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FAAE4">
            <w:r>
              <w:rPr>
                <w:rFonts w:ascii="Arial" w:hAnsi="Arial" w:eastAsia="Arial" w:cs="Arial"/>
                <w:sz w:val="20"/>
                <w:szCs w:val="20"/>
              </w:rPr>
              <w:t>Casos de uso (Commands/Queries), DTOs, validadores, interfaces de repos.</w:t>
            </w:r>
          </w:p>
        </w:tc>
      </w:tr>
      <w:tr w14:paraId="0925E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C775">
            <w:r>
              <w:rPr>
                <w:rFonts w:ascii="Arial" w:hAnsi="Arial" w:eastAsia="Arial" w:cs="Arial"/>
                <w:sz w:val="20"/>
                <w:szCs w:val="20"/>
              </w:rPr>
              <w:t>Domain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427AE">
            <w:r>
              <w:rPr>
                <w:rFonts w:ascii="Arial" w:hAnsi="Arial" w:eastAsia="Arial" w:cs="Arial"/>
                <w:sz w:val="20"/>
                <w:szCs w:val="20"/>
              </w:rPr>
              <w:t>EShopy.Domain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7F8B8">
            <w:r>
              <w:rPr>
                <w:rFonts w:ascii="Arial" w:hAnsi="Arial" w:eastAsia="Arial" w:cs="Arial"/>
                <w:sz w:val="20"/>
                <w:szCs w:val="20"/>
              </w:rPr>
              <w:t>Entidades, value objects, reglas invariantes, ErrorCodes, Result&lt;T&gt;.</w:t>
            </w:r>
          </w:p>
        </w:tc>
      </w:tr>
      <w:tr w14:paraId="7F4EB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28954">
            <w:r>
              <w:rPr>
                <w:rFonts w:ascii="Arial" w:hAnsi="Arial" w:eastAsia="Arial" w:cs="Arial"/>
                <w:sz w:val="20"/>
                <w:szCs w:val="20"/>
              </w:rPr>
              <w:t>Infrastructure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74D21">
            <w:r>
              <w:rPr>
                <w:rFonts w:ascii="Arial" w:hAnsi="Arial" w:eastAsia="Arial" w:cs="Arial"/>
                <w:sz w:val="20"/>
                <w:szCs w:val="20"/>
              </w:rPr>
              <w:t>EShopy.Infrastructure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20A88">
            <w:r>
              <w:rPr>
                <w:rFonts w:ascii="Arial" w:hAnsi="Arial" w:eastAsia="Arial" w:cs="Arial"/>
                <w:sz w:val="20"/>
                <w:szCs w:val="20"/>
              </w:rPr>
              <w:t>EF Core, repositorios, migraciones, integraciones externas.</w:t>
            </w:r>
          </w:p>
        </w:tc>
      </w:tr>
      <w:tr w14:paraId="64166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2919">
            <w:r>
              <w:rPr>
                <w:rFonts w:ascii="Arial" w:hAnsi="Arial" w:eastAsia="Arial" w:cs="Arial"/>
                <w:sz w:val="20"/>
                <w:szCs w:val="20"/>
              </w:rPr>
              <w:t>Tests Unit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90B9D">
            <w:r>
              <w:rPr>
                <w:rFonts w:ascii="Arial" w:hAnsi="Arial" w:eastAsia="Arial" w:cs="Arial"/>
                <w:sz w:val="20"/>
                <w:szCs w:val="20"/>
              </w:rPr>
              <w:t>EShopy.Tests.Unit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CE1D">
            <w:r>
              <w:rPr>
                <w:rFonts w:ascii="Arial" w:hAnsi="Arial" w:eastAsia="Arial" w:cs="Arial"/>
                <w:sz w:val="20"/>
                <w:szCs w:val="20"/>
              </w:rPr>
              <w:t>Tests de dominio, validadores y handlers.</w:t>
            </w:r>
          </w:p>
        </w:tc>
      </w:tr>
      <w:tr w14:paraId="70D4E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F8028">
            <w:r>
              <w:rPr>
                <w:rFonts w:ascii="Arial" w:hAnsi="Arial" w:eastAsia="Arial" w:cs="Arial"/>
                <w:sz w:val="20"/>
                <w:szCs w:val="20"/>
              </w:rPr>
              <w:t>Tests Integration</w:t>
            </w:r>
          </w:p>
        </w:tc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5DFA">
            <w:r>
              <w:rPr>
                <w:rFonts w:ascii="Arial" w:hAnsi="Arial" w:eastAsia="Arial" w:cs="Arial"/>
                <w:sz w:val="20"/>
                <w:szCs w:val="20"/>
              </w:rPr>
              <w:t>EShopy.Tests.Integration</w:t>
            </w:r>
          </w:p>
        </w:tc>
        <w:tc>
          <w:tcPr>
            <w:tcW w:w="51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7F4C">
            <w:r>
              <w:rPr>
                <w:rFonts w:ascii="Arial" w:hAnsi="Arial" w:eastAsia="Arial" w:cs="Arial"/>
                <w:sz w:val="20"/>
                <w:szCs w:val="20"/>
              </w:rPr>
              <w:t>Tests con DB real (Testcontainers / LocalDB).</w:t>
            </w:r>
          </w:p>
        </w:tc>
      </w:tr>
    </w:tbl>
    <w:p w14:paraId="58C18F82">
      <w:pPr>
        <w:spacing w:before="80" w:after="80"/>
      </w:pPr>
    </w:p>
    <w:p w14:paraId="19112B2D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6. Multi-Tenancy</w:t>
      </w:r>
    </w:p>
    <w:p w14:paraId="55221998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El modelo multi-tenant se implementa mediante una columna TenantId en todas las tablas de negocio, con aislamiento a nivel de datos (shared database, shared schema con filtros por TenantId).</w:t>
      </w:r>
    </w:p>
    <w:p w14:paraId="61F5E4E3">
      <w:pPr>
        <w:spacing w:before="80" w:after="80"/>
      </w:pPr>
    </w:p>
    <w:p w14:paraId="112AC4B3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6.1 Reglas no negociables</w:t>
      </w:r>
    </w:p>
    <w:p w14:paraId="06AC697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Todo acceso a datos debe estar filtrado por TenantId.</w:t>
      </w:r>
    </w:p>
    <w:p w14:paraId="75A9114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El TenantId se obtiene del subdominio y del contexto de autenticacion. Nunca del body del request.</w:t>
      </w:r>
    </w:p>
    <w:p w14:paraId="5259EB48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Global Query Filter por TenantId en EF Core en todas las entidades multi-tenant.</w:t>
      </w:r>
    </w:p>
    <w:p w14:paraId="38D7D76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Interceptor EF que impide SaveChanges si una entidad multi-tenant no tiene TenantId.</w:t>
      </w:r>
    </w:p>
    <w:p w14:paraId="0E216B6A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Indices compuestos (TenantId, NaturalKey) en todas las tablas de negocio.</w:t>
      </w:r>
    </w:p>
    <w:p w14:paraId="4E00800D">
      <w:pPr>
        <w:spacing w:before="80" w:after="80"/>
      </w:pPr>
    </w:p>
    <w:p w14:paraId="46CDCE79">
      <w:pPr>
        <w:pStyle w:val="3"/>
        <w:spacing w:before="240" w:after="80"/>
      </w:pPr>
      <w:r>
        <w:rPr>
          <w:rFonts w:ascii="Arial" w:hAnsi="Arial" w:eastAsia="Arial" w:cs="Arial"/>
          <w:b/>
          <w:bCs/>
          <w:color w:val="2E75B6"/>
          <w:sz w:val="26"/>
          <w:szCs w:val="26"/>
        </w:rPr>
        <w:t>6.2 Resolucion de tenant</w:t>
      </w:r>
    </w:p>
    <w:p w14:paraId="5B5E198B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Middleware extrae host/subdominio del HTTP request.</w:t>
      </w:r>
    </w:p>
    <w:p w14:paraId="797B0BD0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Resuelve TenantId consultando tabla Tenants (cacheable con Redis).</w:t>
      </w:r>
    </w:p>
    <w:p w14:paraId="54CB3916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Setea TenantContext (TenantId, StoreId, Subdomain) como servicio scoped en DI.</w:t>
      </w:r>
    </w:p>
    <w:p w14:paraId="2D86B9A5">
      <w:pPr>
        <w:pStyle w:val="14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Todos los repositorios aplican Global Query Filter automaticamente.</w:t>
      </w:r>
    </w:p>
    <w:p w14:paraId="0B196F47">
      <w:pPr>
        <w:spacing w:before="80" w:after="80"/>
      </w:pPr>
    </w:p>
    <w:p w14:paraId="03AB0369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7. Seguridad — Resumen</w:t>
      </w:r>
    </w:p>
    <w:p w14:paraId="607CFE41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Autenticacion centralizada con Keycloak (OIDC Authorization Code + PKCE).</w:t>
      </w:r>
    </w:p>
    <w:p w14:paraId="5067C01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Autorizacion basada en roles (RBAC) con politicas por modulo.</w:t>
      </w:r>
    </w:p>
    <w:p w14:paraId="69E176BB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Tokens JWT con expiracion corta (15 min) + refresh token.</w:t>
      </w:r>
    </w:p>
    <w:p w14:paraId="3224F715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CORS restringido por ambiente (ver Documento 3).</w:t>
      </w:r>
    </w:p>
    <w:p w14:paraId="2BE027D3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Rate limiting por IP y por tenant en endpoints criticos.</w:t>
      </w:r>
    </w:p>
    <w:p w14:paraId="0D6C4D16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Validacion de firma/secret en webhooks de pagos.</w:t>
      </w:r>
    </w:p>
    <w:p w14:paraId="424BFCA2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Headers de seguridad: HSTS, X-Content-Type-Options, X-Frame-Options.</w:t>
      </w:r>
    </w:p>
    <w:p w14:paraId="1B68E9AF">
      <w:pPr>
        <w:pStyle w:val="14"/>
        <w:numPr>
          <w:ilvl w:val="0"/>
          <w:numId w:val="1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>Nunca exponer stacktrace al cliente. Codigo GENERIC_ERROR con traceId.</w:t>
      </w:r>
    </w:p>
    <w:p w14:paraId="19351820">
      <w:pPr>
        <w:spacing w:before="80" w:after="80"/>
      </w:pPr>
    </w:p>
    <w:p w14:paraId="3B7B0C60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8. Roles del Sistema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19"/>
        <w:gridCol w:w="1584"/>
        <w:gridCol w:w="5257"/>
      </w:tblGrid>
      <w:tr w14:paraId="68F77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E3A31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Rol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7986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Alcance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0D8DC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14:paraId="14215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69132">
            <w:r>
              <w:rPr>
                <w:rFonts w:ascii="Arial" w:hAnsi="Arial" w:eastAsia="Arial" w:cs="Arial"/>
                <w:sz w:val="20"/>
                <w:szCs w:val="20"/>
              </w:rPr>
              <w:t>ESHOPY_SUPERADMIN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AB20F">
            <w:r>
              <w:rPr>
                <w:rFonts w:ascii="Arial" w:hAnsi="Arial" w:eastAsia="Arial" w:cs="Arial"/>
                <w:sz w:val="20"/>
                <w:szCs w:val="20"/>
              </w:rPr>
              <w:t>Global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1E98">
            <w:r>
              <w:rPr>
                <w:rFonts w:ascii="Arial" w:hAnsi="Arial" w:eastAsia="Arial" w:cs="Arial"/>
                <w:sz w:val="20"/>
                <w:szCs w:val="20"/>
              </w:rPr>
              <w:t>Administracion global del SaaS. Acceso total. Solo equipo eShopy.</w:t>
            </w:r>
          </w:p>
        </w:tc>
      </w:tr>
      <w:tr w14:paraId="221CE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73B94">
            <w:r>
              <w:rPr>
                <w:rFonts w:ascii="Arial" w:hAnsi="Arial" w:eastAsia="Arial" w:cs="Arial"/>
                <w:sz w:val="20"/>
                <w:szCs w:val="20"/>
              </w:rPr>
              <w:t>TENANT_OWNER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3808">
            <w:r>
              <w:rPr>
                <w:rFonts w:ascii="Arial" w:hAnsi="Arial" w:eastAsia="Arial" w:cs="Arial"/>
                <w:sz w:val="20"/>
                <w:szCs w:val="20"/>
              </w:rPr>
              <w:t>Por tenant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915A8">
            <w:r>
              <w:rPr>
                <w:rFonts w:ascii="Arial" w:hAnsi="Arial" w:eastAsia="Arial" w:cs="Arial"/>
                <w:sz w:val="20"/>
                <w:szCs w:val="20"/>
              </w:rPr>
              <w:t>Propietario del comercio. Acceso total al tenant. Asignado en onboarding.</w:t>
            </w:r>
          </w:p>
        </w:tc>
      </w:tr>
      <w:tr w14:paraId="46B3D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D3641">
            <w:r>
              <w:rPr>
                <w:rFonts w:ascii="Arial" w:hAnsi="Arial" w:eastAsia="Arial" w:cs="Arial"/>
                <w:sz w:val="20"/>
                <w:szCs w:val="20"/>
              </w:rPr>
              <w:t>TENANT_ADMIN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95B7">
            <w:r>
              <w:rPr>
                <w:rFonts w:ascii="Arial" w:hAnsi="Arial" w:eastAsia="Arial" w:cs="Arial"/>
                <w:sz w:val="20"/>
                <w:szCs w:val="20"/>
              </w:rPr>
              <w:t>Por tenant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E8DF8">
            <w:r>
              <w:rPr>
                <w:rFonts w:ascii="Arial" w:hAnsi="Arial" w:eastAsia="Arial" w:cs="Arial"/>
                <w:sz w:val="20"/>
                <w:szCs w:val="20"/>
              </w:rPr>
              <w:t>Administrador operativo. Gestiona catalogo y pedidos.</w:t>
            </w:r>
          </w:p>
        </w:tc>
      </w:tr>
      <w:tr w14:paraId="1A38A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D838E">
            <w:r>
              <w:rPr>
                <w:rFonts w:ascii="Arial" w:hAnsi="Arial" w:eastAsia="Arial" w:cs="Arial"/>
                <w:sz w:val="20"/>
                <w:szCs w:val="20"/>
              </w:rPr>
              <w:t>TENANT_STAFF</w:t>
            </w:r>
          </w:p>
        </w:tc>
        <w:tc>
          <w:tcPr>
            <w:tcW w:w="16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1B2EE">
            <w:r>
              <w:rPr>
                <w:rFonts w:ascii="Arial" w:hAnsi="Arial" w:eastAsia="Arial" w:cs="Arial"/>
                <w:sz w:val="20"/>
                <w:szCs w:val="20"/>
              </w:rPr>
              <w:t>Por tenant</w:t>
            </w:r>
          </w:p>
        </w:tc>
        <w:tc>
          <w:tcPr>
            <w:tcW w:w="5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0B0EA">
            <w:r>
              <w:rPr>
                <w:rFonts w:ascii="Arial" w:hAnsi="Arial" w:eastAsia="Arial" w:cs="Arial"/>
                <w:sz w:val="20"/>
                <w:szCs w:val="20"/>
              </w:rPr>
              <w:t>Usuario con permisos limitados. Ej: ver y preparar pedidos.</w:t>
            </w:r>
          </w:p>
        </w:tc>
      </w:tr>
    </w:tbl>
    <w:p w14:paraId="0C4ED5A1">
      <w:pPr>
        <w:pBdr>
          <w:left w:val="single" w:color="2E75B6" w:sz="8" w:space="0"/>
        </w:pBdr>
        <w:shd w:val="clear" w:fill="D6E4F0"/>
        <w:spacing w:before="80" w:after="80"/>
        <w:ind w:left="360"/>
      </w:pPr>
      <w:r>
        <w:rPr>
          <w:rFonts w:ascii="Arial" w:hAnsi="Arial" w:eastAsia="Arial" w:cs="Arial"/>
          <w:i/>
          <w:iCs/>
          <w:sz w:val="20"/>
          <w:szCs w:val="20"/>
        </w:rPr>
        <w:t>Los roles se gestionan en Keycloak. El backend valida claims del JWT y aplica politicas RBAC. Ver Documento 3 para la matriz completa de permisos.</w:t>
      </w:r>
    </w:p>
    <w:p w14:paraId="2BCF0DF6">
      <w:pPr>
        <w:spacing w:before="80" w:after="80"/>
      </w:pPr>
    </w:p>
    <w:p w14:paraId="5C13A238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9. Manejo de Errores</w:t>
      </w:r>
    </w:p>
    <w:p w14:paraId="29DAB22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El backend retorna siempre un contrato de error estable. El frontend puede mapear por 'code' para mostrar mensajes amigables al usuario.</w:t>
      </w:r>
    </w:p>
    <w:p w14:paraId="0885122A">
      <w:pPr>
        <w:shd w:val="clear" w:fill="F4F4F4"/>
        <w:spacing w:before="40" w:after="4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{</w:t>
      </w:r>
    </w:p>
    <w:p w14:paraId="1A6383C3">
      <w:pPr>
        <w:shd w:val="clear" w:fill="F4F4F4"/>
        <w:spacing w:before="40" w:after="4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"traceId": "00-abc123...",</w:t>
      </w:r>
    </w:p>
    <w:p w14:paraId="2A9AD00C">
      <w:pPr>
        <w:shd w:val="clear" w:fill="F4F4F4"/>
        <w:spacing w:before="40" w:after="4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"code": "TENANT_NOT_FOUND",</w:t>
      </w:r>
    </w:p>
    <w:p w14:paraId="4F5CEA52">
      <w:pPr>
        <w:shd w:val="clear" w:fill="F4F4F4"/>
        <w:spacing w:before="40" w:after="4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"message": "Tenant not found.",</w:t>
      </w:r>
    </w:p>
    <w:p w14:paraId="1449ABD4">
      <w:pPr>
        <w:shd w:val="clear" w:fill="F4F4F4"/>
        <w:spacing w:before="40" w:after="4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 xml:space="preserve">  "details": null</w:t>
      </w:r>
    </w:p>
    <w:p w14:paraId="69639555">
      <w:pPr>
        <w:shd w:val="clear" w:fill="F4F4F4"/>
        <w:spacing w:before="40" w:after="40"/>
      </w:pPr>
      <w:r>
        <w:rPr>
          <w:rFonts w:ascii="Courier New" w:hAnsi="Courier New" w:eastAsia="Courier New" w:cs="Courier New"/>
          <w:color w:val="333333"/>
          <w:sz w:val="18"/>
          <w:szCs w:val="18"/>
        </w:rPr>
        <w:t>}</w:t>
      </w:r>
    </w:p>
    <w:p w14:paraId="0E579E2D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>Ver Documento 3 para la lista completa de ErrorCodes y su mapeo HTTP.</w:t>
      </w:r>
    </w:p>
    <w:p w14:paraId="65E092FB">
      <w:pPr>
        <w:spacing w:before="80" w:after="80"/>
      </w:pPr>
    </w:p>
    <w:p w14:paraId="12FAB735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10. Modelo Conceptual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7360"/>
      </w:tblGrid>
      <w:tr w14:paraId="62EA4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D668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Concepto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48D7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Descripcion</w:t>
            </w:r>
          </w:p>
        </w:tc>
      </w:tr>
      <w:tr w14:paraId="124C6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C477D">
            <w:r>
              <w:rPr>
                <w:rFonts w:ascii="Arial" w:hAnsi="Arial" w:eastAsia="Arial" w:cs="Arial"/>
                <w:sz w:val="20"/>
                <w:szCs w:val="20"/>
              </w:rPr>
              <w:t>Tenant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37424">
            <w:r>
              <w:rPr>
                <w:rFonts w:ascii="Arial" w:hAnsi="Arial" w:eastAsia="Arial" w:cs="Arial"/>
                <w:sz w:val="20"/>
                <w:szCs w:val="20"/>
              </w:rPr>
              <w:t>Comercio cliente de eShopy. Tiene un subdominio unico y una suscripcion activa.</w:t>
            </w:r>
          </w:p>
        </w:tc>
      </w:tr>
      <w:tr w14:paraId="58B847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08E14">
            <w:r>
              <w:rPr>
                <w:rFonts w:ascii="Arial" w:hAnsi="Arial" w:eastAsia="Arial" w:cs="Arial"/>
                <w:sz w:val="20"/>
                <w:szCs w:val="20"/>
              </w:rPr>
              <w:t>Store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BE7D9">
            <w:r>
              <w:rPr>
                <w:rFonts w:ascii="Arial" w:hAnsi="Arial" w:eastAsia="Arial" w:cs="Arial"/>
                <w:sz w:val="20"/>
                <w:szCs w:val="20"/>
              </w:rPr>
              <w:t>Tienda publica del tenant. Configuracion de branding, moneda y zona horaria.</w:t>
            </w:r>
          </w:p>
        </w:tc>
      </w:tr>
      <w:tr w14:paraId="5EB3F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78398">
            <w:r>
              <w:rPr>
                <w:rFonts w:ascii="Arial" w:hAnsi="Arial" w:eastAsia="Arial" w:cs="Arial"/>
                <w:sz w:val="20"/>
                <w:szCs w:val="20"/>
              </w:rPr>
              <w:t>TenantUser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F3C91">
            <w:r>
              <w:rPr>
                <w:rFonts w:ascii="Arial" w:hAnsi="Arial" w:eastAsia="Arial" w:cs="Arial"/>
                <w:sz w:val="20"/>
                <w:szCs w:val="20"/>
              </w:rPr>
              <w:t>Usuario administrativo del tenant. Referenciado en Keycloak.</w:t>
            </w:r>
          </w:p>
        </w:tc>
      </w:tr>
      <w:tr w14:paraId="444B9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DD92">
            <w:r>
              <w:rPr>
                <w:rFonts w:ascii="Arial" w:hAnsi="Arial" w:eastAsia="Arial" w:cs="Arial"/>
                <w:sz w:val="20"/>
                <w:szCs w:val="20"/>
              </w:rPr>
              <w:t>Subscription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0B45">
            <w:r>
              <w:rPr>
                <w:rFonts w:ascii="Arial" w:hAnsi="Arial" w:eastAsia="Arial" w:cs="Arial"/>
                <w:sz w:val="20"/>
                <w:szCs w:val="20"/>
              </w:rPr>
              <w:t>Suscripcion mensual del tenant a un plan de eShopy.</w:t>
            </w:r>
          </w:p>
        </w:tc>
      </w:tr>
      <w:tr w14:paraId="7E01CD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D96C5">
            <w:r>
              <w:rPr>
                <w:rFonts w:ascii="Arial" w:hAnsi="Arial" w:eastAsia="Arial" w:cs="Arial"/>
                <w:sz w:val="20"/>
                <w:szCs w:val="20"/>
              </w:rPr>
              <w:t>Product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316F6">
            <w:r>
              <w:rPr>
                <w:rFonts w:ascii="Arial" w:hAnsi="Arial" w:eastAsia="Arial" w:cs="Arial"/>
                <w:sz w:val="20"/>
                <w:szCs w:val="20"/>
              </w:rPr>
              <w:t>Articulo vendible. Precio, stock obligatorio, estado, slug unico por tenant.</w:t>
            </w:r>
          </w:p>
        </w:tc>
      </w:tr>
      <w:tr w14:paraId="0D3C4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6AC36">
            <w:r>
              <w:rPr>
                <w:rFonts w:ascii="Arial" w:hAnsi="Arial" w:eastAsia="Arial" w:cs="Arial"/>
                <w:sz w:val="20"/>
                <w:szCs w:val="20"/>
              </w:rPr>
              <w:t>Cart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DF0C8">
            <w:r>
              <w:rPr>
                <w:rFonts w:ascii="Arial" w:hAnsi="Arial" w:eastAsia="Arial" w:cs="Arial"/>
                <w:sz w:val="20"/>
                <w:szCs w:val="20"/>
              </w:rPr>
              <w:t>Carrito del comprador. Anonimo con CartToken. Persistencia server-side.</w:t>
            </w:r>
          </w:p>
        </w:tc>
      </w:tr>
      <w:tr w14:paraId="3A44B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ADDD">
            <w:r>
              <w:rPr>
                <w:rFonts w:ascii="Arial" w:hAnsi="Arial" w:eastAsia="Arial" w:cs="Arial"/>
                <w:sz w:val="20"/>
                <w:szCs w:val="20"/>
              </w:rPr>
              <w:t>Order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88A61">
            <w:r>
              <w:rPr>
                <w:rFonts w:ascii="Arial" w:hAnsi="Arial" w:eastAsia="Arial" w:cs="Arial"/>
                <w:sz w:val="20"/>
                <w:szCs w:val="20"/>
              </w:rPr>
              <w:t>Pedido generado desde el checkout. Items con snapshot de precio.</w:t>
            </w:r>
          </w:p>
        </w:tc>
      </w:tr>
      <w:tr w14:paraId="31233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8C15A">
            <w:r>
              <w:rPr>
                <w:rFonts w:ascii="Arial" w:hAnsi="Arial" w:eastAsia="Arial" w:cs="Arial"/>
                <w:sz w:val="20"/>
                <w:szCs w:val="20"/>
              </w:rPr>
              <w:t>Payment</w:t>
            </w:r>
          </w:p>
        </w:tc>
        <w:tc>
          <w:tcPr>
            <w:tcW w:w="7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0D9A5">
            <w:r>
              <w:rPr>
                <w:rFonts w:ascii="Arial" w:hAnsi="Arial" w:eastAsia="Arial" w:cs="Arial"/>
                <w:sz w:val="20"/>
                <w:szCs w:val="20"/>
              </w:rPr>
              <w:t>Transaccion asociada a un pedido. Estado, provider, referencias externas.</w:t>
            </w:r>
          </w:p>
        </w:tc>
      </w:tr>
    </w:tbl>
    <w:p w14:paraId="7490D636">
      <w:pPr>
        <w:spacing w:before="80" w:after="80"/>
      </w:pPr>
    </w:p>
    <w:p w14:paraId="3749FDC8">
      <w:pPr>
        <w:pStyle w:val="2"/>
        <w:spacing w:before="300" w:after="120"/>
      </w:pPr>
      <w:r>
        <w:rPr>
          <w:rFonts w:ascii="Arial" w:hAnsi="Arial" w:eastAsia="Arial" w:cs="Arial"/>
          <w:b/>
          <w:bCs/>
          <w:color w:val="1F4E79"/>
          <w:sz w:val="32"/>
          <w:szCs w:val="32"/>
        </w:rPr>
        <w:t>11. Documentos relacionados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7560"/>
      </w:tblGrid>
      <w:tr w14:paraId="5CFEE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92E6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Documento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E2CA"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>Contenido</w:t>
            </w:r>
          </w:p>
        </w:tc>
      </w:tr>
      <w:tr w14:paraId="5AF45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21CF0">
            <w:r>
              <w:rPr>
                <w:rFonts w:ascii="Arial" w:hAnsi="Arial" w:eastAsia="Arial" w:cs="Arial"/>
                <w:sz w:val="20"/>
                <w:szCs w:val="20"/>
              </w:rPr>
              <w:t>Documento 2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49644">
            <w:r>
              <w:rPr>
                <w:rFonts w:ascii="Arial" w:hAnsi="Arial" w:eastAsia="Arial" w:cs="Arial"/>
                <w:sz w:val="20"/>
                <w:szCs w:val="20"/>
              </w:rPr>
              <w:t>Dominio y Casos de Uso: entidades, estados, transiciones, UC-01..UC-10.</w:t>
            </w:r>
          </w:p>
        </w:tc>
      </w:tr>
      <w:tr w14:paraId="4CE84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77817">
            <w:r>
              <w:rPr>
                <w:rFonts w:ascii="Arial" w:hAnsi="Arial" w:eastAsia="Arial" w:cs="Arial"/>
                <w:sz w:val="20"/>
                <w:szCs w:val="20"/>
              </w:rPr>
              <w:t>Documento 3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EC703">
            <w:r>
              <w:rPr>
                <w:rFonts w:ascii="Arial" w:hAnsi="Arial" w:eastAsia="Arial" w:cs="Arial"/>
                <w:sz w:val="20"/>
                <w:szCs w:val="20"/>
              </w:rPr>
              <w:t>Arquitectura Backend: capas, patrones, seguridad, logging, matrices.</w:t>
            </w:r>
          </w:p>
        </w:tc>
      </w:tr>
      <w:tr w14:paraId="5397A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4346A">
            <w:r>
              <w:rPr>
                <w:rFonts w:ascii="Arial" w:hAnsi="Arial" w:eastAsia="Arial" w:cs="Arial"/>
                <w:sz w:val="20"/>
                <w:szCs w:val="20"/>
              </w:rPr>
              <w:t>Documento 4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E56E1">
            <w:r>
              <w:rPr>
                <w:rFonts w:ascii="Arial" w:hAnsi="Arial" w:eastAsia="Arial" w:cs="Arial"/>
                <w:sz w:val="20"/>
                <w:szCs w:val="20"/>
              </w:rPr>
              <w:t>Modelo de Datos: tablas, columnas, indices, constraints SQL Server.</w:t>
            </w:r>
          </w:p>
        </w:tc>
      </w:tr>
      <w:tr w14:paraId="553D2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3174F">
            <w:r>
              <w:rPr>
                <w:rFonts w:ascii="Arial" w:hAnsi="Arial" w:eastAsia="Arial" w:cs="Arial"/>
                <w:sz w:val="20"/>
                <w:szCs w:val="20"/>
              </w:rPr>
              <w:t>Documento 5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62BB">
            <w:r>
              <w:rPr>
                <w:rFonts w:ascii="Arial" w:hAnsi="Arial" w:eastAsia="Arial" w:cs="Arial"/>
                <w:sz w:val="20"/>
                <w:szCs w:val="20"/>
              </w:rPr>
              <w:t>Plan de Trabajo: fases, estructura de carpetas, criterios por fase.</w:t>
            </w:r>
          </w:p>
        </w:tc>
      </w:tr>
      <w:tr w14:paraId="09085E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2593FE">
            <w:r>
              <w:rPr>
                <w:rFonts w:ascii="Arial" w:hAnsi="Arial" w:eastAsia="Arial" w:cs="Arial"/>
                <w:sz w:val="20"/>
                <w:szCs w:val="20"/>
              </w:rPr>
              <w:t>Documento 6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8F372">
            <w:r>
              <w:rPr>
                <w:rFonts w:ascii="Arial" w:hAnsi="Arial" w:eastAsia="Arial" w:cs="Arial"/>
                <w:sz w:val="20"/>
                <w:szCs w:val="20"/>
              </w:rPr>
              <w:t>Flujo de Suscripcion y Billing: onboarding, activacion, estados.</w:t>
            </w:r>
          </w:p>
        </w:tc>
      </w:tr>
      <w:tr w14:paraId="4ABA69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AB5C">
            <w:r>
              <w:rPr>
                <w:rFonts w:ascii="Arial" w:hAnsi="Arial" w:eastAsia="Arial" w:cs="Arial"/>
                <w:sz w:val="20"/>
                <w:szCs w:val="20"/>
              </w:rPr>
              <w:t>Documento 7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A5A9">
            <w:r>
              <w:rPr>
                <w:rFonts w:ascii="Arial" w:hAnsi="Arial" w:eastAsia="Arial" w:cs="Arial"/>
                <w:sz w:val="20"/>
                <w:szCs w:val="20"/>
              </w:rPr>
              <w:t>Testing Strategy: piramide, herramientas, casos criticos, CI.</w:t>
            </w:r>
          </w:p>
        </w:tc>
      </w:tr>
      <w:tr w14:paraId="20C2A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71278">
            <w:r>
              <w:rPr>
                <w:rFonts w:ascii="Arial" w:hAnsi="Arial" w:eastAsia="Arial" w:cs="Arial"/>
                <w:sz w:val="20"/>
                <w:szCs w:val="20"/>
              </w:rPr>
              <w:t>Documento 8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AAD5">
            <w:r>
              <w:rPr>
                <w:rFonts w:ascii="Arial" w:hAnsi="Arial" w:eastAsia="Arial" w:cs="Arial"/>
                <w:sz w:val="20"/>
                <w:szCs w:val="20"/>
              </w:rPr>
              <w:t>Arquitectura Frontend Angular: apps, theming, componentes, routing.</w:t>
            </w:r>
          </w:p>
        </w:tc>
      </w:tr>
      <w:tr w14:paraId="3BF42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2A59">
            <w:r>
              <w:rPr>
                <w:rFonts w:ascii="Arial" w:hAnsi="Arial" w:eastAsia="Arial" w:cs="Arial"/>
                <w:sz w:val="20"/>
                <w:szCs w:val="20"/>
              </w:rPr>
              <w:t>Documento 9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D861F">
            <w:r>
              <w:rPr>
                <w:rFonts w:ascii="Arial" w:hAnsi="Arial" w:eastAsia="Arial" w:cs="Arial"/>
                <w:sz w:val="20"/>
                <w:szCs w:val="20"/>
              </w:rPr>
              <w:t>Planes Gold y Diamond: alcance funcional y decisiones de producto.</w:t>
            </w:r>
          </w:p>
        </w:tc>
      </w:tr>
      <w:tr w14:paraId="45734E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C632">
            <w:r>
              <w:rPr>
                <w:rFonts w:ascii="Arial" w:hAnsi="Arial" w:eastAsia="Arial" w:cs="Arial"/>
                <w:sz w:val="20"/>
                <w:szCs w:val="20"/>
              </w:rPr>
              <w:t>Documento 10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EE05B">
            <w:r>
              <w:rPr>
                <w:rFonts w:ascii="Arial" w:hAnsi="Arial" w:eastAsia="Arial" w:cs="Arial"/>
                <w:sz w:val="20"/>
                <w:szCs w:val="20"/>
              </w:rPr>
              <w:t>Contratos OpenAPI: DTOs, endpoints, validaciones, seguridad.</w:t>
            </w:r>
          </w:p>
        </w:tc>
      </w:tr>
      <w:tr w14:paraId="7D88E5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25C86">
            <w:r>
              <w:rPr>
                <w:rFonts w:ascii="Arial" w:hAnsi="Arial" w:eastAsia="Arial" w:cs="Arial"/>
                <w:sz w:val="20"/>
                <w:szCs w:val="20"/>
              </w:rPr>
              <w:t>Documento 11</w:t>
            </w:r>
          </w:p>
        </w:tc>
        <w:tc>
          <w:tcPr>
            <w:tcW w:w="75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32CE2">
            <w:r>
              <w:rPr>
                <w:rFonts w:ascii="Arial" w:hAnsi="Arial" w:eastAsia="Arial" w:cs="Arial"/>
                <w:sz w:val="20"/>
                <w:szCs w:val="20"/>
              </w:rPr>
              <w:t>Decisiones Tecnicas y Estado Temporal: deuda consciente y checklist.</w:t>
            </w:r>
          </w:p>
        </w:tc>
      </w:tr>
    </w:tbl>
    <w:p w14:paraId="4C9EB1AC">
      <w:pPr>
        <w:spacing w:before="80" w:after="8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08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140C15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pPr>
      <w:spacing w:before="300" w:after="120"/>
      <w:outlineLvl w:val="0"/>
    </w:pPr>
    <w:rPr>
      <w:rFonts w:ascii="Arial" w:hAnsi="Arial" w:eastAsia="Arial" w:cs="Arial"/>
      <w:b/>
      <w:bCs/>
      <w:color w:val="1F4E79"/>
      <w:sz w:val="32"/>
      <w:szCs w:val="32"/>
    </w:rPr>
  </w:style>
  <w:style w:type="paragraph" w:styleId="3">
    <w:name w:val="heading 2"/>
    <w:next w:val="1"/>
    <w:qFormat/>
    <w:uiPriority w:val="0"/>
    <w:pPr>
      <w:spacing w:before="240" w:after="80"/>
      <w:outlineLvl w:val="1"/>
    </w:pPr>
    <w:rPr>
      <w:rFonts w:ascii="Arial" w:hAnsi="Arial" w:eastAsia="Arial" w:cs="Arial"/>
      <w:b/>
      <w:bCs/>
      <w:color w:val="2E75B6"/>
      <w:sz w:val="26"/>
      <w:szCs w:val="26"/>
    </w:rPr>
  </w:style>
  <w:style w:type="paragraph" w:styleId="4">
    <w:name w:val="heading 3"/>
    <w:next w:val="1"/>
    <w:qFormat/>
    <w:uiPriority w:val="0"/>
    <w:pPr>
      <w:spacing w:before="180" w:after="60"/>
      <w:outlineLvl w:val="2"/>
    </w:pPr>
    <w:rPr>
      <w:rFonts w:ascii="Arial" w:hAnsi="Arial" w:eastAsia="Arial" w:cs="Arial"/>
      <w:b/>
      <w:bCs/>
      <w:color w:val="2E75B6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qFormat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4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7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2026-02-17T13:48:00Z</dcterms:created>
  <dc:creator>Un-named</dc:creator>
  <cp:lastModifiedBy>fquintana</cp:lastModifiedBy>
  <dcterms:modified xsi:type="dcterms:W3CDTF">2026-02-17T13:58:32Z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8F139F84FC264CB190D7B769FC5CE477_12</vt:lpwstr>
  </property>
</Properties>
</file>