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00" w:after="120"/>
        <w:jc w:val="center"/>
      </w:pPr>
      <w:r>
        <w:rPr>
          <w:rFonts w:ascii="Arial" w:cs="Arial" w:eastAsia="Arial" w:hAnsi="Arial"/>
          <w:b/>
          <w:bCs/>
          <w:color w:val="1F4E79"/>
          <w:sz w:val="56"/>
          <w:szCs w:val="56"/>
        </w:rPr>
        <w:t xml:space="preserve">eShopy</w:t>
      </w:r>
    </w:p>
    <w:p>
      <w:pPr>
        <w:spacing w:before="120" w:after="120"/>
        <w:jc w:val="center"/>
      </w:pPr>
      <w:r>
        <w:rPr>
          <w:rFonts w:ascii="Arial" w:cs="Arial" w:eastAsia="Arial" w:hAnsi="Arial"/>
          <w:b/>
          <w:bCs/>
          <w:color w:val="2E75B6"/>
          <w:sz w:val="36"/>
          <w:szCs w:val="36"/>
        </w:rPr>
        <w:t xml:space="preserve">Documento 4: Modelo de Datos</w:t>
      </w:r>
    </w:p>
    <w:p>
      <w:pPr>
        <w:spacing w:before="80" w:after="80"/>
      </w:pPr>
      <w:r>
        <w:t xml:space="preserve"/>
      </w:r>
    </w:p>
    <w:p>
      <w:pPr>
        <w:jc w:val="center"/>
      </w:pPr>
      <w:r>
        <w:rPr>
          <w:rFonts w:ascii="Arial" w:cs="Arial" w:eastAsia="Arial" w:hAnsi="Arial"/>
          <w:color w:val="666666"/>
          <w:sz w:val="22"/>
          <w:szCs w:val="22"/>
        </w:rPr>
        <w:t xml:space="preserve">Versión: 2.0  |  Fecha: 2026-02-17</w:t>
      </w:r>
    </w:p>
    <w:p>
      <w:pPr>
        <w:spacing w:before="80" w:after="80"/>
      </w:pPr>
      <w:r>
        <w:t xml:space="preserve"/>
      </w:r>
    </w:p>
    <w:p>
      <w:pPr>
        <w:ind w:left="720" w:right="720"/>
        <w:jc w:val="center"/>
      </w:pPr>
      <w:r>
        <w:rPr>
          <w:rFonts w:ascii="Arial" w:cs="Arial" w:eastAsia="Arial" w:hAnsi="Arial"/>
          <w:i/>
          <w:iCs/>
          <w:color w:val="444444"/>
          <w:sz w:val="22"/>
          <w:szCs w:val="22"/>
        </w:rPr>
        <w:t xml:space="preserve">Definir el modelo de datos (ER + Naming + Índices + Constraints) para SQL Server, incluyendo la tabla Subscriptions, decisiones sobre StoreId y StockOnHand, y la referencia canónica de ErrorCodes.</w:t>
      </w:r>
    </w:p>
    <w:p>
      <w:pPr>
        <w:spacing w:before="80" w:after="80"/>
      </w:pPr>
      <w:r>
        <w:t xml:space="preserve"/>
      </w:r>
    </w:p>
    <w:p>
      <w:pPr>
        <w:spacing w:before="80" w:after="80"/>
      </w:pPr>
      <w:r>
        <w:t xml:space="preserve"/>
      </w:r>
    </w:p>
    <w:p>
      <w:r>
        <w:br w:type="page"/>
      </w:r>
    </w:p>
    <w:p>
      <w:pPr>
        <w:pStyle w:val="Heading1"/>
        <w:spacing w:before="300" w:after="120"/>
      </w:pPr>
      <w:r>
        <w:rPr>
          <w:rFonts w:ascii="Arial" w:cs="Arial" w:eastAsia="Arial" w:hAnsi="Arial"/>
          <w:b/>
          <w:bCs/>
          <w:color w:val="1F4E79"/>
          <w:sz w:val="32"/>
          <w:szCs w:val="32"/>
        </w:rPr>
        <w:t xml:space="preserve">1. Convenciones</w:t>
      </w:r>
    </w:p>
    <w:p>
      <w:pPr>
        <w:pStyle w:val="Heading2"/>
        <w:spacing w:before="240" w:after="80"/>
      </w:pPr>
      <w:r>
        <w:rPr>
          <w:rFonts w:ascii="Arial" w:cs="Arial" w:eastAsia="Arial" w:hAnsi="Arial"/>
          <w:b/>
          <w:bCs/>
          <w:color w:val="2E75B6"/>
          <w:sz w:val="26"/>
          <w:szCs w:val="26"/>
        </w:rPr>
        <w:t xml:space="preserve">1.1 Idioma y estilo</w:t>
      </w:r>
    </w:p>
    <w:p>
      <w:pPr>
        <w:pStyle w:val="ListParagraph"/>
        <w:numPr>
          <w:ilvl w:val="0"/>
          <w:numId w:val="2"/>
        </w:numPr>
        <w:spacing w:before="40" w:after="40"/>
      </w:pPr>
      <w:r>
        <w:rPr>
          <w:rFonts w:ascii="Arial" w:cs="Arial" w:eastAsia="Arial" w:hAnsi="Arial"/>
          <w:sz w:val="22"/>
          <w:szCs w:val="22"/>
        </w:rPr>
        <w:t xml:space="preserve">Todo en inglés (tablas, columnas, constraints, índices).</w:t>
      </w:r>
    </w:p>
    <w:p>
      <w:pPr>
        <w:pStyle w:val="ListParagraph"/>
        <w:numPr>
          <w:ilvl w:val="0"/>
          <w:numId w:val="2"/>
        </w:numPr>
        <w:spacing w:before="40" w:after="40"/>
      </w:pPr>
      <w:r>
        <w:rPr>
          <w:rFonts w:ascii="Arial" w:cs="Arial" w:eastAsia="Arial" w:hAnsi="Arial"/>
          <w:sz w:val="22"/>
          <w:szCs w:val="22"/>
        </w:rPr>
        <w:t xml:space="preserve">Timestamps en UTC (datetime2). Columnas con sufijo Utc.</w:t>
      </w:r>
    </w:p>
    <w:p>
      <w:pPr>
        <w:pStyle w:val="ListParagraph"/>
        <w:numPr>
          <w:ilvl w:val="0"/>
          <w:numId w:val="2"/>
        </w:numPr>
        <w:spacing w:before="40" w:after="40"/>
      </w:pPr>
      <w:r>
        <w:rPr>
          <w:rFonts w:ascii="Arial" w:cs="Arial" w:eastAsia="Arial" w:hAnsi="Arial"/>
          <w:sz w:val="22"/>
          <w:szCs w:val="22"/>
        </w:rPr>
        <w:t xml:space="preserve">Identificadores tipo GUID (uniqueidentifier) para entidades principales.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1.2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Convención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dbo (MVP)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dbo.Products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PascalCase plural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Tenants, Products, Orders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PascalCase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TenantId, CreatedAtUtc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PK_&lt;TableName&gt;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PK_Products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FK_&lt;Child&gt;_&lt;Parent&gt;_&lt;Column&gt;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FK_Products_Stores_StoreId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UQ_&lt;Table&gt;_&lt;Columns&gt;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UQ_Products_TenantId_Slug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Índice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IX_&lt;Table&gt;_&lt;Columns&gt;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IX_Products_TenantId_Status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CK_&lt;Table&gt;_&lt;Rule&gt;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CK_Products_Price_Positive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1.3 Columnas base (AppEntity)</w:t>
      </w:r>
    </w:p>
    <w:p>
      <w:pPr>
        <w:spacing w:before="60" w:after="60"/>
      </w:pPr>
      <w:r>
        <w:rPr>
          <w:rFonts w:ascii="Arial" w:cs="Arial" w:eastAsia="Arial" w:hAnsi="Arial"/>
          <w:sz w:val="22"/>
          <w:szCs w:val="22"/>
        </w:rPr>
        <w:t xml:space="preserve">Todas las tablas multi-tenant incluyen estas columnas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primario (GUID).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Identificador del tenant propietario.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CreatedAtUtc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creación en UTC.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CreatedBy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Usuario que creó el registro.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UpdatedAtUtc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última modificación en UTC.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UpdatedBy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Usuario que modificó el registro.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para extensiones no críticas.</w:t>
            </w:r>
          </w:p>
        </w:tc>
      </w:tr>
    </w:tbl>
    <w:p>
      <w:pPr>
        <w:pBdr>
          <w:left w:val="single" w:color="2E75B6" w:sz="8"/>
        </w:pBdr>
        <w:shd w:fill="D6E4F0" w:val="clear"/>
        <w:spacing w:before="80" w:after="80"/>
        <w:ind w:left="360"/>
      </w:pPr>
      <w:r>
        <w:rPr>
          <w:rFonts w:ascii="Arial" w:cs="Arial" w:eastAsia="Arial" w:hAnsi="Arial"/>
          <w:i/>
          <w:iCs/>
          <w:sz w:val="20"/>
          <w:szCs w:val="20"/>
        </w:rPr>
        <w:t xml:space="preserve">La columna Data almacena JSON para extensiones no críticas. El acceso debe ser tipado (ProductData, etc). No exponer Data directamente en API.</w:t>
      </w:r>
    </w:p>
    <w:p>
      <w:pPr>
        <w:spacing w:before="80" w:after="80"/>
      </w:pPr>
      <w:r>
        <w:t xml:space="preserve"/>
      </w:r>
    </w:p>
    <w:p>
      <w:pPr>
        <w:pStyle w:val="Heading1"/>
        <w:spacing w:before="300" w:after="120"/>
      </w:pPr>
      <w:r>
        <w:rPr>
          <w:rFonts w:ascii="Arial" w:cs="Arial" w:eastAsia="Arial" w:hAnsi="Arial"/>
          <w:b/>
          <w:bCs/>
          <w:color w:val="1F4E79"/>
          <w:sz w:val="32"/>
          <w:szCs w:val="32"/>
        </w:rPr>
        <w:t xml:space="preserve">2. Decisiones de diseño</w:t>
      </w:r>
    </w:p>
    <w:p>
      <w:pPr>
        <w:pStyle w:val="Heading2"/>
        <w:spacing w:before="240" w:after="80"/>
      </w:pPr>
      <w:r>
        <w:rPr>
          <w:rFonts w:ascii="Arial" w:cs="Arial" w:eastAsia="Arial" w:hAnsi="Arial"/>
          <w:b/>
          <w:bCs/>
          <w:color w:val="2E75B6"/>
          <w:sz w:val="26"/>
          <w:szCs w:val="26"/>
        </w:rPr>
        <w:t xml:space="preserve">2.1 StockOnHand en Products</w:t>
      </w:r>
    </w:p>
    <w:p>
      <w:pPr>
        <w:pBdr>
          <w:left w:val="single" w:color="2E75B6" w:sz="8"/>
        </w:pBdr>
        <w:shd w:fill="D6E4F0" w:val="clear"/>
        <w:spacing w:before="80" w:after="80"/>
        <w:ind w:left="360"/>
      </w:pPr>
      <w:r>
        <w:rPr>
          <w:rFonts w:ascii="Arial" w:cs="Arial" w:eastAsia="Arial" w:hAnsi="Arial"/>
          <w:i/>
          <w:iCs/>
          <w:sz w:val="20"/>
          <w:szCs w:val="20"/>
        </w:rPr>
        <w:t xml:space="preserve">DECISIÓN: StockOnHand es obligatorio (int, mínimo 0). No es nullable. En MVP, todo producto tiene stock rastreado. El campo no puede ser NULL en base de datos ni en el dominio.</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2.2 StoreId en Products</w:t>
      </w:r>
    </w:p>
    <w:p>
      <w:pPr>
        <w:pBdr>
          <w:left w:val="single" w:color="2E75B6" w:sz="8"/>
        </w:pBdr>
        <w:shd w:fill="D6E4F0" w:val="clear"/>
        <w:spacing w:before="80" w:after="80"/>
        <w:ind w:left="360"/>
      </w:pPr>
      <w:r>
        <w:rPr>
          <w:rFonts w:ascii="Arial" w:cs="Arial" w:eastAsia="Arial" w:hAnsi="Arial"/>
          <w:i/>
          <w:iCs/>
          <w:sz w:val="20"/>
          <w:szCs w:val="20"/>
        </w:rPr>
        <w:t xml:space="preserve">DECISIÓN: StoreId está presente en Products como FK hacia Stores (extensibilidad para planes Gold/Diamond multi-store). En MVP, un tenant tiene exactamente 1 Store, por lo que StoreId es siempre igual al Store del tenant. El valor se resuelve en backend al crear el producto; el frontend no lo envía.</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2.3 CurrencyCode en Products</w:t>
      </w:r>
    </w:p>
    <w:p>
      <w:pPr>
        <w:pBdr>
          <w:left w:val="single" w:color="2E75B6" w:sz="8"/>
        </w:pBdr>
        <w:shd w:fill="D6E4F0" w:val="clear"/>
        <w:spacing w:before="80" w:after="80"/>
        <w:ind w:left="360"/>
      </w:pPr>
      <w:r>
        <w:rPr>
          <w:rFonts w:ascii="Arial" w:cs="Arial" w:eastAsia="Arial" w:hAnsi="Arial"/>
          <w:i/>
          <w:iCs/>
          <w:sz w:val="20"/>
          <w:szCs w:val="20"/>
        </w:rPr>
        <w:t xml:space="preserve">DECISIÓN: CurrencyCode en Product se hereda del Store al momento de la creación. No es un campo editable por producto. En MVP, la moneda es siempre PYG. Si en el futuro se soportan múltiples monedas, se revisará este campo.</w:t>
      </w:r>
    </w:p>
    <w:p>
      <w:pPr>
        <w:spacing w:before="80" w:after="80"/>
      </w:pPr>
      <w:r>
        <w:t xml:space="preserve"/>
      </w:r>
    </w:p>
    <w:p>
      <w:pPr>
        <w:pStyle w:val="Heading1"/>
        <w:spacing w:before="300" w:after="120"/>
      </w:pPr>
      <w:r>
        <w:rPr>
          <w:rFonts w:ascii="Arial" w:cs="Arial" w:eastAsia="Arial" w:hAnsi="Arial"/>
          <w:b/>
          <w:bCs/>
          <w:color w:val="1F4E79"/>
          <w:sz w:val="32"/>
          <w:szCs w:val="32"/>
        </w:rPr>
        <w:t xml:space="preserve">3. Entidades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Multi-tenant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del comercio. Tabla global.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(es la raíz)</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Configuración de tienda por tenant (branding, moneda, zona horaria).</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TenantUsers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Perfil local de usuario admin (referencia a Keycloak).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Subscriptions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Suscripción mensual del tenant a un plan.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de productos por tenant.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ProductImages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Imágenes de producto (metadata + URL). MVP: solo URL.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Carritos por tenant. Persistencia server-side con CartToken.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CartItems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Items del carrito con snapshot de precio para mostrar.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Pedidos (checkout). OrderNumber secuencial por tenant.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OrderItems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Items del pedido con snapshot completo (precio, nombre, SKU).</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Transacciones por pedido. Estado, provider, referencias externas.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PaymentEventsProcessed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Eventos de webhook procesados (idempotencia).</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AuditLogs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Auditoría app-level para acciones sensibles.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(nullable)</w:t>
            </w:r>
          </w:p>
        </w:tc>
      </w:tr>
    </w:tbl>
    <w:p>
      <w:pPr>
        <w:spacing w:before="80" w:after="80"/>
      </w:pPr>
      <w:r>
        <w:t xml:space="preserve"/>
      </w:r>
    </w:p>
    <w:p>
      <w:pPr>
        <w:pStyle w:val="Heading1"/>
        <w:spacing w:before="300" w:after="120"/>
      </w:pPr>
      <w:r>
        <w:rPr>
          <w:rFonts w:ascii="Arial" w:cs="Arial" w:eastAsia="Arial" w:hAnsi="Arial"/>
          <w:b/>
          <w:bCs/>
          <w:color w:val="1F4E79"/>
          <w:sz w:val="32"/>
          <w:szCs w:val="32"/>
        </w:rPr>
        <w:t xml:space="preserve">4. Definición de tablas</w:t>
      </w:r>
    </w:p>
    <w:p>
      <w:pPr>
        <w:pStyle w:val="Heading2"/>
        <w:spacing w:before="240" w:after="80"/>
      </w:pPr>
      <w:r>
        <w:rPr>
          <w:rFonts w:ascii="Arial" w:cs="Arial" w:eastAsia="Arial" w:hAnsi="Arial"/>
          <w:b/>
          <w:bCs/>
          <w:color w:val="2E75B6"/>
          <w:sz w:val="26"/>
          <w:szCs w:val="26"/>
        </w:rPr>
        <w:t xml:space="preserve">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Identificador del tenant.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Subdomain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nvarchar(63)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Subdominio único. Usado para resolver TenantId en middleware.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Razón social o nombre legal del comercio.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DisplayName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comercial 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del propietario. Usado para invitación inicial.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tinyint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0=PendingPayment, 1=Active, 2=Suspended.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CreatedAtUtc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creación UTC.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UpdatedAtUtc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 de última modificación UTC.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para extensiones.</w:t>
            </w:r>
          </w:p>
        </w:tc>
      </w:tr>
    </w:tbl>
    <w:p>
      <w:pPr>
        <w:spacing w:before="60" w:after="60"/>
      </w:pPr>
      <w:r>
        <w:rPr>
          <w:rFonts w:ascii="Arial" w:cs="Arial" w:eastAsia="Arial" w:hAnsi="Arial"/>
          <w:sz w:val="22"/>
          <w:szCs w:val="22"/>
        </w:rPr>
        <w:t xml:space="preserve">PK: PK_Tenants (Id) | UQ: UQ_Tenants_Subdomain, UQ_Tenants_OwnerEmail | IX: IX_Tenants_Status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-&gt; Tenants.Id.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la tienda.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PublicEmail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nvarchar(256)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de contacto público.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Teléfono de contacto público.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CurrencyCode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Código ISO 4217. Ej: PYG.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horaria. Ej: America/Asuncion.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PrimaryColor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nvarchar(16)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Color principal del branding (hex).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del logo de la tienda.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para extensiones.</w:t>
            </w:r>
          </w:p>
        </w:tc>
      </w:tr>
    </w:tbl>
    <w:p>
      <w:pPr>
        <w:spacing w:before="60" w:after="60"/>
      </w:pPr>
      <w:r>
        <w:rPr>
          <w:rFonts w:ascii="Arial" w:cs="Arial" w:eastAsia="Arial" w:hAnsi="Arial"/>
          <w:sz w:val="22"/>
          <w:szCs w:val="22"/>
        </w:rPr>
        <w:t xml:space="preserve">PK: PK_Stores (Id) | FK: FK_Stores_Tenants_TenantId | UQ: UQ_Stores_TenantId (1 store por tenant en MVP)</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-&gt; Tenants.Id.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suscripto: Basic, Gold, Diamond.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tinyint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0=PendingPayment, 1=Active, 2=Suspended, 3=Cancelled.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StartedAtUtc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inicio de la suscripción activa.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ExpiresAtUtc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 de vencimiento del período actual.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ExternalSubscriptionId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de suscripción en el provider (si aplica).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para extensiones.</w:t>
            </w:r>
          </w:p>
        </w:tc>
      </w:tr>
    </w:tbl>
    <w:p>
      <w:pPr>
        <w:spacing w:before="60" w:after="60"/>
      </w:pPr>
      <w:r>
        <w:rPr>
          <w:rFonts w:ascii="Arial" w:cs="Arial" w:eastAsia="Arial" w:hAnsi="Arial"/>
          <w:sz w:val="22"/>
          <w:szCs w:val="22"/>
        </w:rPr>
        <w:t xml:space="preserve">PK: PK_Subscriptions | FK: FK_Subscriptions_Tenants_TenantId | UQ: UQ_Subscriptions_TenantId_Active (1 suscripción activa por tenant)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-&gt; Tenants.Id (multi-tenant).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Stores.Id. En MVP siempre es el store único del tenant.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nvarchar(64)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Código de producto opcional. Único por tenant si presente.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URL-friendly. Único por tenant. No editable post-creación.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del producto.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Descripción del producto.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decimal(18,2)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 Debe ser &gt;= 0. CK: CK_Products_Price_Positive.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Heredado del Store al crear. No editable. Ej: PYG.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tinyint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0=Draft, 1=Active, 2=Archived.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StockOnHand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actual. Obligatorio, mínimo 0. CK: CK_Products_Stock_NonNegative.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para extensiones.</w:t>
            </w:r>
          </w:p>
        </w:tc>
      </w:tr>
    </w:tbl>
    <w:p>
      <w:pPr>
        <w:spacing w:before="60" w:after="60"/>
      </w:pPr>
      <w:r>
        <w:rPr>
          <w:rFonts w:ascii="Arial" w:cs="Arial" w:eastAsia="Arial" w:hAnsi="Arial"/>
          <w:sz w:val="22"/>
          <w:szCs w:val="22"/>
        </w:rPr>
        <w:t xml:space="preserve">PK: PK_Products | FK: FK_Products_Tenants_TenantId, FK_Products_Stores_StoreId</w:t>
      </w:r>
    </w:p>
    <w:p>
      <w:pPr>
        <w:spacing w:before="60" w:after="60"/>
      </w:pPr>
      <w:r>
        <w:rPr>
          <w:rFonts w:ascii="Arial" w:cs="Arial" w:eastAsia="Arial" w:hAnsi="Arial"/>
          <w:sz w:val="22"/>
          <w:szCs w:val="22"/>
        </w:rPr>
        <w:t xml:space="preserve">UQ: UQ_Products_TenantId_Slug | UQ filtrado: UQ_Products_TenantId_Sku WHERE Sku IS NOT NULL</w:t>
      </w:r>
    </w:p>
    <w:p>
      <w:pPr>
        <w:spacing w:before="60" w:after="60"/>
      </w:pPr>
      <w:r>
        <w:rPr>
          <w:rFonts w:ascii="Arial" w:cs="Arial" w:eastAsia="Arial" w:hAnsi="Arial"/>
          <w:sz w:val="22"/>
          <w:szCs w:val="22"/>
        </w:rPr>
        <w:t xml:space="preserve">IX: IX_Products_TenantId_Status, IX_Products_TenantId_Name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Carts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-&gt; Tenants.Id.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Stores.Id.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CartToken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nvarchar(128)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del carrito anónimo (cookie/localStorage del Storefront).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BuyerEmail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del comprador si se identificó.</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tinyint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0=Open, 1=ConvertedToOrder, 2=Abandoned.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ExpiresAtUtc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expiración. Job nocturno limpia carritos vencidos.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para extensiones.</w:t>
            </w:r>
          </w:p>
        </w:tc>
      </w:tr>
    </w:tbl>
    <w:p>
      <w:pPr>
        <w:spacing w:before="60" w:after="60"/>
      </w:pPr>
      <w:r>
        <w:rPr>
          <w:rFonts w:ascii="Arial" w:cs="Arial" w:eastAsia="Arial" w:hAnsi="Arial"/>
          <w:sz w:val="22"/>
          <w:szCs w:val="22"/>
        </w:rPr>
        <w:t xml:space="preserve">UQ: UQ_Carts_TenantId_CartToken | IX: IX_Carts_TenantId_Status, IX_Carts_ExpiresAtUtc</w:t>
      </w:r>
    </w:p>
    <w:p>
      <w:pPr>
        <w:pBdr>
          <w:left w:val="single" w:color="2E75B6" w:sz="8"/>
        </w:pBdr>
        <w:shd w:fill="D6E4F0" w:val="clear"/>
        <w:spacing w:before="80" w:after="80"/>
        <w:ind w:left="360"/>
      </w:pPr>
      <w:r>
        <w:rPr>
          <w:rFonts w:ascii="Arial" w:cs="Arial" w:eastAsia="Arial" w:hAnsi="Arial"/>
          <w:i/>
          <w:iCs/>
          <w:sz w:val="20"/>
          <w:szCs w:val="20"/>
        </w:rPr>
        <w:t xml:space="preserve">Persistencia server-side con token. Los carritos Open con ExpiresAtUtc pasado se marcan Abandoned por un job programado (background service).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-&gt; Tenants.Id.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Stores.Id.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OrderNumber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Número secuencial por tenant. Amigable al usuario.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0=PendingPayment, 1=Paid, 2=Cancelled, 3=Refunded.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BuyerName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del comprador (snapshot).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BuyerEmail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del comprador (snapshot).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BuyerPhone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Teléfono del comprador.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BuyerDocument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 o RUC del comprador.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ShippingAddress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Dirección de entrega.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Subtotal antes de ajustes. &gt;= 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decimal(18,2)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a pagar. &gt;= Subtotal.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Moneda del pedido (snapshot del Store).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para extensiones.</w:t>
            </w:r>
          </w:p>
        </w:tc>
      </w:tr>
    </w:tbl>
    <w:p>
      <w:pPr>
        <w:spacing w:before="60" w:after="60"/>
      </w:pPr>
      <w:r>
        <w:rPr>
          <w:rFonts w:ascii="Arial" w:cs="Arial" w:eastAsia="Arial" w:hAnsi="Arial"/>
          <w:sz w:val="22"/>
          <w:szCs w:val="22"/>
        </w:rPr>
        <w:t xml:space="preserve">UQ: UQ_Orders_TenantId_OrderNumber | IX: IX_Orders_TenantId_Status_CreatedAtUtc, IX_Orders_TenantId_BuyerEmail</w:t>
      </w:r>
    </w:p>
    <w:p>
      <w:pPr>
        <w:pBdr>
          <w:left w:val="single" w:color="2E75B6" w:sz="8"/>
        </w:pBdr>
        <w:shd w:fill="D6E4F0" w:val="clear"/>
        <w:spacing w:before="80" w:after="80"/>
        <w:ind w:left="360"/>
      </w:pPr>
      <w:r>
        <w:rPr>
          <w:rFonts w:ascii="Arial" w:cs="Arial" w:eastAsia="Arial" w:hAnsi="Arial"/>
          <w:i/>
          <w:iCs/>
          <w:sz w:val="20"/>
          <w:szCs w:val="20"/>
        </w:rPr>
        <w:t xml:space="preserve">OrderNumber: generado con tabla TenantCounters (UPDLOCK/ROWLOCK) para garantizar secuencia atómica por tenant sin gaps visibles al usuario.</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-&gt; Tenants.Id.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Orders.Id.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Proveedor: Bancard o PagoPar.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ExternalPaymentId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del pago en el provider.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ExternalReference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nvarchar(128)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Referencia externa del provider.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0=Initiated, 1=Authorized, 2=Captured, 3=Failed, 4=Refunded.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decimal(18,2)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Monto del pago. &gt;=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Moneda del pago.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ProviderPayload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mínimo del payload del provider (truncado, sin datos sensibles).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para extensiones.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PaymentEventsProcessed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-&gt; Tenants.Id.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Proveedor del evento.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ExternalEventId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nvarchar(128)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externo del evento. Clave de idempotencia.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ProcessedAtUtc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procesamiento UTC.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para extensiones.</w:t>
            </w:r>
          </w:p>
        </w:tc>
      </w:tr>
    </w:tbl>
    <w:p>
      <w:pPr>
        <w:spacing w:before="60" w:after="60"/>
      </w:pPr>
      <w:r>
        <w:rPr>
          <w:rFonts w:ascii="Arial" w:cs="Arial" w:eastAsia="Arial" w:hAnsi="Arial"/>
          <w:sz w:val="22"/>
          <w:szCs w:val="22"/>
        </w:rPr>
        <w:t xml:space="preserve">UQ: UQ_PaymentEventsProcessed_TenantId_Provider_ExternalEventId | IX: IX_PaymentEventsProcessed_ProcessedAtUtc</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AuditLogs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uniqueidentifier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-&gt; Tenants.Id. Null para eventos globales.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la entidad auditada. Ej: Product.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EntityId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nvarchar(64)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de la entidad auditada.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Acción: Create, Update, Delete, StatusChange, Webhook.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BeforeJson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 anterior en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posterior en JSON.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nvarchar(64)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del usuario en Keycloak.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del usuario.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TraceId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TraceId de la operación.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CreatedAtUtc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del evento UTC.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rowversion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de concurrencia optimista.</w:t>
            </w:r>
          </w:p>
        </w:tc>
      </w:tr>
    </w:tbl>
    <w:p>
      <w:pPr>
        <w:spacing w:before="60" w:after="60"/>
      </w:pPr>
      <w:r>
        <w:rPr>
          <w:rFonts w:ascii="Arial" w:cs="Arial" w:eastAsia="Arial" w:hAnsi="Arial"/>
          <w:sz w:val="22"/>
          <w:szCs w:val="22"/>
        </w:rPr>
        <w:t xml:space="preserve">IX: IX_AuditLogs_TenantId_CreatedAtUtc, IX_AuditLogs_EntityName_EntityId</w:t>
      </w:r>
    </w:p>
    <w:p>
      <w:pPr>
        <w:spacing w:before="80" w:after="80"/>
      </w:pPr>
      <w:r>
        <w:t xml:space="preserve"/>
      </w:r>
    </w:p>
    <w:p>
      <w:pPr>
        <w:pStyle w:val="Heading1"/>
        <w:spacing w:before="300" w:after="120"/>
      </w:pPr>
      <w:r>
        <w:rPr>
          <w:rFonts w:ascii="Arial" w:cs="Arial" w:eastAsia="Arial" w:hAnsi="Arial"/>
          <w:b/>
          <w:bCs/>
          <w:color w:val="1F4E79"/>
          <w:sz w:val="32"/>
          <w:szCs w:val="32"/>
        </w:rPr>
        <w:t xml:space="preserve">5. Diagrama ER (Mermaid)</w:t>
      </w:r>
    </w:p>
    <w:p>
      <w:pPr>
        <w:shd w:fill="F4F4F4" w:val="clear"/>
        <w:spacing w:before="60" w:after="60"/>
      </w:pPr>
      <w:r>
        <w:rPr>
          <w:rFonts w:ascii="Courier New" w:cs="Courier New" w:eastAsia="Courier New" w:hAnsi="Courier New"/>
          <w:color w:val="333333"/>
          <w:sz w:val="18"/>
          <w:szCs w:val="18"/>
        </w:rPr>
        <w:t xml:space="preserve">erDiagram</w:t>
      </w:r>
    </w:p>
    <w:p>
      <w:pPr>
        <w:shd w:fill="F4F4F4" w:val="clear"/>
        <w:spacing w:before="60" w:after="60"/>
      </w:pPr>
      <w:r>
        <w:rPr>
          <w:rFonts w:ascii="Courier New" w:cs="Courier New" w:eastAsia="Courier New" w:hAnsi="Courier New"/>
          <w:color w:val="333333"/>
          <w:sz w:val="18"/>
          <w:szCs w:val="18"/>
        </w:rPr>
        <w:t xml:space="preserve">  TENANTS ||--|| STORES : has</w:t>
      </w:r>
    </w:p>
    <w:p>
      <w:pPr>
        <w:shd w:fill="F4F4F4" w:val="clear"/>
        <w:spacing w:before="60" w:after="60"/>
      </w:pPr>
      <w:r>
        <w:rPr>
          <w:rFonts w:ascii="Courier New" w:cs="Courier New" w:eastAsia="Courier New" w:hAnsi="Courier New"/>
          <w:color w:val="333333"/>
          <w:sz w:val="18"/>
          <w:szCs w:val="18"/>
        </w:rPr>
        <w:t xml:space="preserve">  TENANTS ||--o{ TENANTUSERS : contains</w:t>
      </w:r>
    </w:p>
    <w:p>
      <w:pPr>
        <w:shd w:fill="F4F4F4" w:val="clear"/>
        <w:spacing w:before="60" w:after="60"/>
      </w:pPr>
      <w:r>
        <w:rPr>
          <w:rFonts w:ascii="Courier New" w:cs="Courier New" w:eastAsia="Courier New" w:hAnsi="Courier New"/>
          <w:color w:val="333333"/>
          <w:sz w:val="18"/>
          <w:szCs w:val="18"/>
        </w:rPr>
        <w:t xml:space="preserve">  TENANTS ||--o{ SUBSCRIPTIONS : has</w:t>
      </w:r>
    </w:p>
    <w:p>
      <w:pPr>
        <w:shd w:fill="F4F4F4" w:val="clear"/>
        <w:spacing w:before="60" w:after="60"/>
      </w:pPr>
      <w:r>
        <w:rPr>
          <w:rFonts w:ascii="Courier New" w:cs="Courier New" w:eastAsia="Courier New" w:hAnsi="Courier New"/>
          <w:color w:val="333333"/>
          <w:sz w:val="18"/>
          <w:szCs w:val="18"/>
        </w:rPr>
        <w:t xml:space="preserve">  STORES  ||--o{ PRODUCTS : offers</w:t>
      </w:r>
    </w:p>
    <w:p>
      <w:pPr>
        <w:shd w:fill="F4F4F4" w:val="clear"/>
        <w:spacing w:before="60" w:after="60"/>
      </w:pPr>
      <w:r>
        <w:rPr>
          <w:rFonts w:ascii="Courier New" w:cs="Courier New" w:eastAsia="Courier New" w:hAnsi="Courier New"/>
          <w:color w:val="333333"/>
          <w:sz w:val="18"/>
          <w:szCs w:val="18"/>
        </w:rPr>
        <w:t xml:space="preserve">  PRODUCTS ||--o{ PRODUCTIMAGES : has</w:t>
      </w:r>
    </w:p>
    <w:p>
      <w:pPr>
        <w:shd w:fill="F4F4F4" w:val="clear"/>
        <w:spacing w:before="60" w:after="60"/>
      </w:pPr>
      <w:r>
        <w:rPr>
          <w:rFonts w:ascii="Courier New" w:cs="Courier New" w:eastAsia="Courier New" w:hAnsi="Courier New"/>
          <w:color w:val="333333"/>
          <w:sz w:val="18"/>
          <w:szCs w:val="18"/>
        </w:rPr>
        <w:t xml:space="preserve">  STORES ||--o{ CARTS : owns</w:t>
      </w:r>
    </w:p>
    <w:p>
      <w:pPr>
        <w:shd w:fill="F4F4F4" w:val="clear"/>
        <w:spacing w:before="60" w:after="60"/>
      </w:pPr>
      <w:r>
        <w:rPr>
          <w:rFonts w:ascii="Courier New" w:cs="Courier New" w:eastAsia="Courier New" w:hAnsi="Courier New"/>
          <w:color w:val="333333"/>
          <w:sz w:val="18"/>
          <w:szCs w:val="18"/>
        </w:rPr>
        <w:t xml:space="preserve">  CARTS ||--o{ CARTITEMS : contains</w:t>
      </w:r>
    </w:p>
    <w:p>
      <w:pPr>
        <w:shd w:fill="F4F4F4" w:val="clear"/>
        <w:spacing w:before="60" w:after="60"/>
      </w:pPr>
      <w:r>
        <w:rPr>
          <w:rFonts w:ascii="Courier New" w:cs="Courier New" w:eastAsia="Courier New" w:hAnsi="Courier New"/>
          <w:color w:val="333333"/>
          <w:sz w:val="18"/>
          <w:szCs w:val="18"/>
        </w:rPr>
        <w:t xml:space="preserve">  PRODUCTS ||--o{ CARTITEMS : referenced_by</w:t>
      </w:r>
    </w:p>
    <w:p>
      <w:pPr>
        <w:shd w:fill="F4F4F4" w:val="clear"/>
        <w:spacing w:before="60" w:after="60"/>
      </w:pPr>
      <w:r>
        <w:rPr>
          <w:rFonts w:ascii="Courier New" w:cs="Courier New" w:eastAsia="Courier New" w:hAnsi="Courier New"/>
          <w:color w:val="333333"/>
          <w:sz w:val="18"/>
          <w:szCs w:val="18"/>
        </w:rPr>
        <w:t xml:space="preserve">  STORES ||--o{ ORDERS : receives</w:t>
      </w:r>
    </w:p>
    <w:p>
      <w:pPr>
        <w:shd w:fill="F4F4F4" w:val="clear"/>
        <w:spacing w:before="60" w:after="60"/>
      </w:pPr>
      <w:r>
        <w:rPr>
          <w:rFonts w:ascii="Courier New" w:cs="Courier New" w:eastAsia="Courier New" w:hAnsi="Courier New"/>
          <w:color w:val="333333"/>
          <w:sz w:val="18"/>
          <w:szCs w:val="18"/>
        </w:rPr>
        <w:t xml:space="preserve">  ORDERS ||--o{ ORDERITEMS : contains</w:t>
      </w:r>
    </w:p>
    <w:p>
      <w:pPr>
        <w:shd w:fill="F4F4F4" w:val="clear"/>
        <w:spacing w:before="60" w:after="60"/>
      </w:pPr>
      <w:r>
        <w:rPr>
          <w:rFonts w:ascii="Courier New" w:cs="Courier New" w:eastAsia="Courier New" w:hAnsi="Courier New"/>
          <w:color w:val="333333"/>
          <w:sz w:val="18"/>
          <w:szCs w:val="18"/>
        </w:rPr>
        <w:t xml:space="preserve">  ORDERS ||--o{ PAYMENTS : paid_by</w:t>
      </w:r>
    </w:p>
    <w:p>
      <w:pPr>
        <w:shd w:fill="F4F4F4" w:val="clear"/>
        <w:spacing w:before="60" w:after="60"/>
      </w:pPr>
      <w:r>
        <w:rPr>
          <w:rFonts w:ascii="Courier New" w:cs="Courier New" w:eastAsia="Courier New" w:hAnsi="Courier New"/>
          <w:color w:val="333333"/>
          <w:sz w:val="18"/>
          <w:szCs w:val="18"/>
        </w:rPr>
        <w:t xml:space="preserve">  PAYMENTS ||--o{ PAYMENTEVENTSPROCESSED : idempotency</w:t>
      </w:r>
    </w:p>
    <w:p>
      <w:pPr>
        <w:spacing w:before="80" w:after="80"/>
      </w:pPr>
      <w:r>
        <w:t xml:space="preserve"/>
      </w:r>
    </w:p>
    <w:p>
      <w:pPr>
        <w:pStyle w:val="Heading1"/>
        <w:spacing w:before="300" w:after="120"/>
      </w:pPr>
      <w:r>
        <w:rPr>
          <w:rFonts w:ascii="Arial" w:cs="Arial" w:eastAsia="Arial" w:hAnsi="Arial"/>
          <w:b/>
          <w:bCs/>
          <w:color w:val="1F4E79"/>
          <w:sz w:val="32"/>
          <w:szCs w:val="32"/>
        </w:rPr>
        <w:t xml:space="preserve">6. Notas de implementación (EF Core)</w:t>
      </w:r>
    </w:p>
    <w:p>
      <w:pPr>
        <w:pStyle w:val="ListParagraph"/>
        <w:numPr>
          <w:ilvl w:val="0"/>
          <w:numId w:val="2"/>
        </w:numPr>
        <w:spacing w:before="40" w:after="40"/>
      </w:pPr>
      <w:r>
        <w:rPr>
          <w:rFonts w:ascii="Arial" w:cs="Arial" w:eastAsia="Arial" w:hAnsi="Arial"/>
          <w:sz w:val="22"/>
          <w:szCs w:val="22"/>
        </w:rPr>
        <w:t xml:space="preserve">Usar RowVersion como token de concurrencia (IsRowVersion() en mapping EF).</w:t>
      </w:r>
    </w:p>
    <w:p>
      <w:pPr>
        <w:pStyle w:val="ListParagraph"/>
        <w:numPr>
          <w:ilvl w:val="0"/>
          <w:numId w:val="2"/>
        </w:numPr>
        <w:spacing w:before="40" w:after="40"/>
      </w:pPr>
      <w:r>
        <w:rPr>
          <w:rFonts w:ascii="Arial" w:cs="Arial" w:eastAsia="Arial" w:hAnsi="Arial"/>
          <w:sz w:val="22"/>
          <w:szCs w:val="22"/>
        </w:rPr>
        <w:t xml:space="preserve">HasComment en todas las columnas del mapping EF (requerido).</w:t>
      </w:r>
    </w:p>
    <w:p>
      <w:pPr>
        <w:pStyle w:val="ListParagraph"/>
        <w:numPr>
          <w:ilvl w:val="0"/>
          <w:numId w:val="2"/>
        </w:numPr>
        <w:spacing w:before="40" w:after="40"/>
      </w:pPr>
      <w:r>
        <w:rPr>
          <w:rFonts w:ascii="Arial" w:cs="Arial" w:eastAsia="Arial" w:hAnsi="Arial"/>
          <w:sz w:val="22"/>
          <w:szCs w:val="22"/>
        </w:rPr>
        <w:t xml:space="preserve">Global Query Filter por TenantId en todas las entidades multi-tenant.</w:t>
      </w:r>
    </w:p>
    <w:p>
      <w:pPr>
        <w:pStyle w:val="ListParagraph"/>
        <w:numPr>
          <w:ilvl w:val="0"/>
          <w:numId w:val="2"/>
        </w:numPr>
        <w:spacing w:before="40" w:after="40"/>
      </w:pPr>
      <w:r>
        <w:rPr>
          <w:rFonts w:ascii="Arial" w:cs="Arial" w:eastAsia="Arial" w:hAnsi="Arial"/>
          <w:sz w:val="22"/>
          <w:szCs w:val="22"/>
        </w:rPr>
        <w:t xml:space="preserve">Interceptor SaveChanges: setea CreatedAtUtc/UpdatedAtUtc y valida TenantId.</w:t>
      </w:r>
    </w:p>
    <w:p>
      <w:pPr>
        <w:pStyle w:val="ListParagraph"/>
        <w:numPr>
          <w:ilvl w:val="0"/>
          <w:numId w:val="2"/>
        </w:numPr>
        <w:spacing w:before="40" w:after="40"/>
      </w:pPr>
      <w:r>
        <w:rPr>
          <w:rFonts w:ascii="Arial" w:cs="Arial" w:eastAsia="Arial" w:hAnsi="Arial"/>
          <w:sz w:val="22"/>
          <w:szCs w:val="22"/>
        </w:rPr>
        <w:t xml:space="preserve">Para OrderNumber por tenant: tabla TenantCounters con UPDLOCK/ROWLOCK en transacción.</w:t>
      </w:r>
    </w:p>
    <w:p>
      <w:pPr>
        <w:pStyle w:val="ListParagraph"/>
        <w:numPr>
          <w:ilvl w:val="0"/>
          <w:numId w:val="2"/>
        </w:numPr>
        <w:spacing w:before="40" w:after="40"/>
      </w:pPr>
      <w:r>
        <w:rPr>
          <w:rFonts w:ascii="Arial" w:cs="Arial" w:eastAsia="Arial" w:hAnsi="Arial"/>
          <w:sz w:val="22"/>
          <w:szCs w:val="22"/>
        </w:rPr>
        <w:t xml:space="preserve">Índice único filtrado para Sku: WHERE Sku IS NOT NULL.</w:t>
      </w:r>
    </w:p>
    <w:p>
      <w:pPr>
        <w:pStyle w:val="ListParagraph"/>
        <w:numPr>
          <w:ilvl w:val="0"/>
          <w:numId w:val="2"/>
        </w:numPr>
        <w:spacing w:before="40" w:after="40"/>
      </w:pPr>
      <w:r>
        <w:rPr>
          <w:rFonts w:ascii="Arial" w:cs="Arial" w:eastAsia="Arial" w:hAnsi="Arial"/>
          <w:sz w:val="22"/>
          <w:szCs w:val="22"/>
        </w:rPr>
        <w:t xml:space="preserve">Índice único filtrado para ExternalPaymentId: WHERE ExternalPaymentId IS NOT NULL.</w:t>
      </w:r>
    </w:p>
    <w:p>
      <w:pPr>
        <w:spacing w:before="80"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2026-02-17T13:31:52.186Z</dcterms:created>
  <dcterms:modified xsi:type="dcterms:W3CDTF">2026-02-17T13:31:52.186Z</dcterms:modified>
</cp:coreProperties>
</file>

<file path=docProps/custom.xml><?xml version="1.0" encoding="utf-8"?>
<Properties xmlns="http://schemas.openxmlformats.org/officeDocument/2006/custom-properties" xmlns:vt="http://schemas.openxmlformats.org/officeDocument/2006/docPropsVTypes"/>
</file>