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pPr>
        <w:spacing w:before="400" w:after="120"/>
        <w:jc w:val="center"/>
      </w:pPr>
      <w:r>
        <w:rPr>
          <w:rFonts w:ascii="Arial" w:cs="Arial" w:eastAsia="Arial" w:hAnsi="Arial"/>
          <w:b/>
          <w:bCs/>
          <w:color w:val="1F4E79"/>
          <w:sz w:val="56"/>
          <w:szCs w:val="56"/>
        </w:rPr>
        <w:t xml:space="preserve">eShopy</w:t>
      </w:r>
    </w:p>
    <w:p>
      <w:pPr>
        <w:spacing w:before="120" w:after="120"/>
        <w:jc w:val="center"/>
      </w:pPr>
      <w:r>
        <w:rPr>
          <w:rFonts w:ascii="Arial" w:cs="Arial" w:eastAsia="Arial" w:hAnsi="Arial"/>
          <w:b/>
          <w:bCs/>
          <w:color w:val="2E75B6"/>
          <w:sz w:val="36"/>
          <w:szCs w:val="36"/>
        </w:rPr>
        <w:t xml:space="preserve">Documento 8: Arquitectura Frontend Angular</w:t>
      </w:r>
    </w:p>
    <w:p>
      <w:pPr>
        <w:spacing w:before="80" w:after="80"/>
      </w:pPr>
      <w:r>
        <w:t xml:space="preserve"/>
      </w:r>
    </w:p>
    <w:p>
      <w:pPr>
        <w:jc w:val="center"/>
      </w:pPr>
      <w:r>
        <w:rPr>
          <w:rFonts w:ascii="Arial" w:cs="Arial" w:eastAsia="Arial" w:hAnsi="Arial"/>
          <w:color w:val="666666"/>
          <w:sz w:val="22"/>
          <w:szCs w:val="22"/>
        </w:rPr>
        <w:t xml:space="preserve">Version: 2.0  |  Fecha: 2026-02-17</w:t>
      </w:r>
    </w:p>
    <w:p>
      <w:pPr>
        <w:spacing w:before="80" w:after="80"/>
      </w:pPr>
      <w:r>
        <w:t xml:space="preserve"/>
      </w:r>
    </w:p>
    <w:p>
      <w:pPr>
        <w:ind w:left="720" w:right="720"/>
        <w:jc w:val="center"/>
      </w:pPr>
      <w:r>
        <w:rPr>
          <w:rFonts w:ascii="Arial" w:cs="Arial" w:eastAsia="Arial" w:hAnsi="Arial"/>
          <w:i/>
          <w:iCs/>
          <w:color w:val="444444"/>
          <w:sz w:val="22"/>
          <w:szCs w:val="22"/>
        </w:rPr>
        <w:t xml:space="preserve">Definir la arquitectura del frontend Angular: estructura de workspace, theming centralizado, componentes reutilizables, responsive, autenticacion, contratos con el backend y routing por feature.</w:t>
      </w:r>
    </w:p>
    <w:p>
      <w:pPr>
        <w:spacing w:before="80" w:after="80"/>
      </w:pPr>
      <w:r>
        <w:t xml:space="preserve"/>
      </w:r>
    </w:p>
    <w:p>
      <w:pPr>
        <w:spacing w:before="80" w:after="80"/>
      </w:pPr>
      <w:r>
        <w:t xml:space="preserve"/>
      </w:r>
    </w:p>
    <w:p>
      <w:r>
        <w:br w:type="pag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1. Decision de arquitectura</w:t>
      </w:r>
    </w:p>
    <w:p>
      <w:pPr>
        <w:pBdr>
          <w:left w:val="single" w:color="2E75B6" w:sz="8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DECISION: NO microfrontend en MVP. Monorepo Angular con 2 apps (Admin + Storefront) que comparten librerias internas de UI, theming y API client. Esto da el 90% del beneficio sin la complejidad operativa de un microfrontend.</w:t>
      </w:r>
    </w:p>
    <w:p>
      <w:pPr>
        <w:spacing w:before="80" w:after="80"/>
      </w:pPr>
      <w:r>
        <w:t xml:space="preserve"/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Criterios para evaluar microfrontend en el futuro: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Multiples equipos trabajando en dominios distintos (Admin vs Storefront).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Requerimiento de despliegues independientes por modulo.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Necesidad real de aislar ciclos de release por feature.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2. Aplicaciones frontend (MVP)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4800"/>
        <w:gridCol w:w="2560"/>
      </w:tblGrid>
      <w:tr>
        <w:trPr>
          <w:tblHeader/>
        </w:trP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Usuario principal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eShopy Admin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Panel del tenant: catalogo, pedidos, configuracion, billing.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Tenant Owner / Admin / Staff</w:t>
            </w:r>
          </w:p>
        </w:tc>
      </w:tr>
      <w:tr>
        <w:tc>
          <w:tcPr>
            <w:tcW w:type="dxa" w:w="2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eShopy Storefront</w:t>
            </w:r>
          </w:p>
        </w:tc>
        <w:tc>
          <w:tcPr>
            <w:tcW w:type="dxa" w:w="4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Tienda publica: catalogo, producto, carrito, checkout.</w:t>
            </w:r>
          </w:p>
        </w:tc>
        <w:tc>
          <w:tcPr>
            <w:tcW w:type="dxa" w:w="2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Buyer (comprador final)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3. Stack y librerias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1600"/>
        <w:gridCol w:w="540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Libreria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Version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 (ultima LTS)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Framework principal. Standalone components.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Router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Routing con lazy loading por features.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Angular Material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18+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Componentes UI base. Theming con tokens CSS.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Signals + servicios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State management en MVP. NgRx si crece la complejidad.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HttpClient + interceptors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Llamadas HTTP al backend.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Reactive Forms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Formularios con validacion UX minima.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Jest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29+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Unit tests de componentes, pipes y servicios.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Playwright</w:t>
            </w:r>
          </w:p>
        </w:tc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Post-MVP</w:t>
            </w:r>
          </w:p>
        </w:tc>
        <w:tc>
          <w:tcPr>
            <w:tcW w:type="dxa" w:w="5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Tests E2E del Storefront (checkout happy path).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4. Estructura de workspace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eshopy-frontend/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apps/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admin/          (panel de administracion del tenant)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storefront/     (tienda publica del tenant)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libs/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ui/             (componentes reutilizables + estilos base)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theme/          (tokens CSS: colores, tipografia, spacing)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api-client/     (SDK TypeScript generado desde OpenAPI)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auth/           (Keycloak, guards, interceptors)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  shared/         (utils, pipes, validators UX, tipos comunes)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5. Theming centralizado</w:t>
      </w:r>
    </w:p>
    <w:p>
      <w:pPr>
        <w:spacing w:before="60" w:after="60"/>
      </w:pPr>
      <w:r>
        <w:rPr>
          <w:rFonts w:ascii="Arial" w:cs="Arial" w:eastAsia="Arial" w:hAnsi="Arial"/>
          <w:sz w:val="22"/>
          <w:szCs w:val="22"/>
        </w:rPr>
        <w:t xml:space="preserve">Objetivo: evitar que cada modulo invente colores y estilos. Todo el diseno consume tokens centralizados en libs/theme.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5.1 Tokens recomendados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3200"/>
        <w:gridCol w:w="4560"/>
      </w:tblGrid>
      <w:tr>
        <w:trPr>
          <w:tblHeader/>
        </w:trP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Categoria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Tokens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Ejemplo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Colores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primary, secondary, surface, text, success, warning, error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--color-primary: #1F4E79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Tipografia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font-family, sizes (xs/sm/md/lg/xl), weights, line-heights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--font-size-md: 16px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Spacing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escala 4/8/12/16/24/32/48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--space-4: 4px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Border radius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8/12/16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--radius-md: 12px</w:t>
            </w:r>
          </w:p>
        </w:tc>
      </w:tr>
      <w:tr>
        <w:tc>
          <w:tcPr>
            <w:tcW w:type="dxa" w:w="1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Sombras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1-3 niveles de elevacion</w:t>
            </w:r>
          </w:p>
        </w:tc>
        <w:tc>
          <w:tcPr>
            <w:tcW w:type="dxa" w:w="4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--shadow-1: 0 2px 4px rgba(0,0,0,0.1)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5.2 Override por tenant (Storefront)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Storefront permite override controlado de PrimaryColor y LogoUrl desde la configuracion del Store.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La UI library usa SOLO variables CSS (nunca colores hardcodeados).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backend retorna PrimaryColor y LogoUrl en StorePublicDto.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Storefront inyecta los tokens del tenant en :root al iniciar.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6. Componentes reutilizables (libs/ui)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4200"/>
        <w:gridCol w:w="27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Componente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Descripcion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Variantes clave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AppButton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Boton con estado loading, disabled y single-click guard.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primary, secondary, danger, ghost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AppTextField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Input con errores estandar, hints y validacion UX.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text, email, password, number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AppSelect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Select con busqueda opcional y estados de error.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single, multiple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AppToast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Notificaciones toast unificadas.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success, error, warning, info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AppDialog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Modal de confirmacion con acciones.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confirm, alert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AppDataGrid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Tabla con paginacion, sorting y empty state.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AppLoading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Indicador de carga.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skeleton, spinner, overlay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AppPageLayout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Layout estandar: header + content + actions.</w:t>
            </w:r>
          </w:p>
        </w:tc>
        <w:tc>
          <w:tcPr>
            <w:tcW w:type="dxa" w:w="2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-</w:t>
            </w:r>
          </w:p>
        </w:tc>
      </w:tr>
    </w:tbl>
    <w:p>
      <w:pPr>
        <w:pBdr>
          <w:left w:val="single" w:color="2E75B6" w:sz="8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 backend valida todo. El frontend incluye validaciones UX minimas (required, email format, length) solo para reducir friccion, sin duplicar reglas complejas de negocio.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7. Responsive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7.1 Principios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Mobile-first para Storefront: la mayoria de los compradores usan movil.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Admin responsive pero optimizado para desktop.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7.2 Breakpoints</w:t>
      </w:r>
    </w:p>
    <w:tbl>
      <w:tblPr>
        <w:tblW w:type="dxa" w:w="94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2200"/>
        <w:gridCol w:w="580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Breakpoint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Rango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Uso tipico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xs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&lt; 600px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Movil. Layout de 1 columna.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sm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600 - 960px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pequena.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md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960 - 1280px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Tablet / laptop pequena.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lg</w:t>
            </w:r>
          </w:p>
        </w:tc>
        <w:tc>
          <w:tcPr>
            <w:tcW w:type="dxa" w:w="2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&gt; 1280px</w:t>
            </w:r>
          </w:p>
        </w:tc>
        <w:tc>
          <w:tcPr>
            <w:tcW w:type="dxa" w:w="5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Desktop.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7.3 Patrones por app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560"/>
      </w:tblGrid>
      <w:tr>
        <w:trPr>
          <w:tblHeader/>
        </w:trP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Patron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Storefront — Catalogo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Grid responsive (1 col en xs, 2 en sm, 3-4 en lg).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Storefront — Checkout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Stepper simple o 1 pagina con secciones colapsables.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Storefront — Carrito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Drawer lateral en desktop. Pagina completa en movil.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— Listas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DataGrid con filtros. Cards en movil (evitar tablas complejas).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— Formularios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1 columna en movil. 2 columnas en desktop.</w:t>
            </w:r>
          </w:p>
        </w:tc>
      </w:tr>
      <w:tr>
        <w:tc>
          <w:tcPr>
            <w:tcW w:type="dxa" w:w="2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 — Layout</w:t>
            </w:r>
          </w:p>
        </w:tc>
        <w:tc>
          <w:tcPr>
            <w:tcW w:type="dxa" w:w="6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Sidebar colapsable + topbar con nombre del tenant.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8. Autenticacion y seguridad frontend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8.1 Resolucion de tenant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tenant se resuelve por el host/subdominio en el backend.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frontend NO envía TenantId en ningun request. El backend lo resuelve por middleware.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8.2 Flujo de autenticacion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400"/>
        <w:gridCol w:w="3200"/>
        <w:gridCol w:w="4760"/>
      </w:tblGrid>
      <w:tr>
        <w:trPr>
          <w:tblHeader/>
        </w:trP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App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Flujo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Notas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Admin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OIDC Authorization Code + PKCE via Keycloak.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Token almacenado en memoria. Refresh token en cookie HttpOnly.</w:t>
            </w:r>
          </w:p>
        </w:tc>
      </w:tr>
      <w:tr>
        <w:tc>
          <w:tcPr>
            <w:tcW w:type="dxa" w:w="1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Storefront</w:t>
            </w:r>
          </w:p>
        </w:tc>
        <w:tc>
          <w:tcPr>
            <w:tcW w:type="dxa" w:w="3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Anonimo por defecto en MVP.</w:t>
            </w:r>
          </w:p>
        </w:tc>
        <w:tc>
          <w:tcPr>
            <w:tcW w:type="dxa" w:w="47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 de buyer post-MVP.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8.3 Interceptors HTTP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Interceptor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Responsabilidad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AuthInterceptor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Authorization: Bearer &lt;jwt&gt; en requests al Admin.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CorrelationIdInterceptor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Agrega X-Correlation-Id (UUID) en todos los requests.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ErrorInterceptor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Normaliza ErrorResponse del backend y muestra AppToast estandar.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RetryInterceptor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Reintento automatico solo para GET idempotentes (max 2 reintentos).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8.4 Proteccion contra doble click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En botones criticos (checkout, pay, save): usar estado isSubmitting y bloquear submit multiple.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AppButton tiene single-click guard integrado (emite solo 1 click hasta que se resetea).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backend es idempotente donde corresponde (pagos). El frontend es una segunda linea de defensa.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9. Contratos con el backend</w:t>
      </w:r>
    </w:p>
    <w:p>
      <w:pPr>
        <w:pBdr>
          <w:left w:val="single" w:color="2E75B6" w:sz="8"/>
        </w:pBdr>
        <w:shd w:fill="D6E4F0" w:val="clear"/>
        <w:spacing w:before="80" w:after="80"/>
        <w:ind w:left="360"/>
      </w:pPr>
      <w:r>
        <w:rPr>
          <w:rFonts w:ascii="Arial" w:cs="Arial" w:eastAsia="Arial" w:hAnsi="Arial"/>
          <w:i/>
          <w:iCs/>
          <w:sz w:val="20"/>
          <w:szCs w:val="20"/>
        </w:rPr>
        <w:t xml:space="preserve">El frontend NO modela entidades del dominio. Solo usa DTOs y contratos generados desde OpenAPI. Esto evita acoplar el frontend al modelo de datos interno del backend.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9.1 Estrategia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backend define contratos OpenAPI (Documento 10).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El cliente TypeScript (libs/api-client) se genera automaticamente desde el OpenAPI spec.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Usar tipos separados por contexto: Admin DTOs y Storefront DTOs.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Fechas ISO UTC en el cliente. Convertir a zona local solo en la UI (pipes de formato).</w:t>
      </w:r>
    </w:p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9.2 Manejo de paginacion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// PagedResult&lt;T&gt; del backend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interface PagedResult&lt;T&gt; {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items: T[];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page: number;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pageSize: number;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  totalCount: number;</w:t>
      </w:r>
    </w:p>
    <w:p>
      <w:pPr>
        <w:shd w:fill="F4F4F4" w:val="clear"/>
        <w:spacing w:before="40" w:after="40"/>
      </w:pPr>
      <w:r>
        <w:rPr>
          <w:rFonts w:ascii="Courier New" w:cs="Courier New" w:eastAsia="Courier New" w:hAnsi="Courier New"/>
          <w:color w:val="333333"/>
          <w:sz w:val="18"/>
          <w:szCs w:val="18"/>
        </w:rPr>
        <w:t xml:space="preserve">}</w:t>
      </w:r>
    </w:p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10. Routing y modularizacion por features</w:t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Admin (lazy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/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/dashboard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Resumen de actividad del tenant.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/catalog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Listado de productos.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/catalog/new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Crear producto.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/catalog/:id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Editar producto.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Listado de pedidos.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/orders/:id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pedido.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Configuracion de la tienda.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/settings/users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Gestion de usuarios del tenant.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/billing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Suscripcion y pagos (post-MVP).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2"/>
        <w:spacing w:before="240" w:after="80"/>
      </w:pPr>
      <w:r>
        <w:rPr>
          <w:rFonts w:ascii="Arial" w:cs="Arial" w:eastAsia="Arial" w:hAnsi="Arial"/>
          <w:b/>
          <w:bCs/>
          <w:color w:val="2E75B6"/>
          <w:sz w:val="26"/>
          <w:szCs w:val="26"/>
        </w:rPr>
        <w:t xml:space="preserve">Storefront (lazy routes)</w:t>
      </w:r>
    </w:p>
    <w:tbl>
      <w:tblPr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400"/>
        <w:gridCol w:w="6960"/>
      </w:tblGrid>
      <w:tr>
        <w:trPr>
          <w:tblHeader/>
        </w:trP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Ruta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F4E7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Modulo / Feature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Home / catalogo de productos.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/p/:slug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Detalle de producto.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/cart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Carrito de compras.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/checkout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Formulario de checkout.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/payment/return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Pagina de retorno del provider de pagos.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/payment/success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2F2F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Confirmacion de pago exitoso.</w:t>
            </w:r>
          </w:p>
        </w:tc>
      </w:tr>
      <w:tr>
        <w:tc>
          <w:tcPr>
            <w:tcW w:type="dxa" w:w="24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/payment/failed</w:t>
            </w:r>
          </w:p>
        </w:tc>
        <w:tc>
          <w:tcPr>
            <w:tcW w:type="dxa" w:w="69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Notificacion de pago fallido.</w:t>
            </w:r>
          </w:p>
        </w:tc>
      </w:tr>
    </w:tbl>
    <w:p>
      <w:pPr>
        <w:spacing w:before="80" w:after="80"/>
      </w:pPr>
      <w:r>
        <w:t xml:space="preserve"/>
      </w:r>
    </w:p>
    <w:p>
      <w:pPr>
        <w:pStyle w:val="Heading1"/>
        <w:spacing w:before="300" w:after="120"/>
      </w:pPr>
      <w:r>
        <w:rPr>
          <w:rFonts w:ascii="Arial" w:cs="Arial" w:eastAsia="Arial" w:hAnsi="Arial"/>
          <w:b/>
          <w:bCs/>
          <w:color w:val="1F4E79"/>
          <w:sz w:val="32"/>
          <w:szCs w:val="32"/>
        </w:rPr>
        <w:t xml:space="preserve">11. Testing frontend (minimo MVP)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Unit: pipes, validators UX, servicios api-client wrapper, componentes criticos.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Integration UI (post-MVP): Playwright para Storefront checkout happy path.</w:t>
      </w:r>
    </w:p>
    <w:p>
      <w:pPr>
        <w:pStyle w:val="ListParagraph"/>
        <w:numPr>
          <w:ilvl w:val="0"/>
          <w:numId w:val="2"/>
        </w:numPr>
        <w:spacing w:before="40" w:after="40"/>
      </w:pPr>
      <w:r>
        <w:rPr>
          <w:rFonts w:ascii="Arial" w:cs="Arial" w:eastAsia="Arial" w:hAnsi="Arial"/>
          <w:sz w:val="22"/>
          <w:szCs w:val="22"/>
        </w:rPr>
        <w:t xml:space="preserve">No duplicar tests del backend en el frontend. El frontend no tiene logica de negocio que testear.</w:t>
      </w:r>
    </w:p>
    <w:p>
      <w:pPr>
        <w:spacing w:before="80" w:after="80"/>
      </w:pPr>
      <w: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08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  <w:lvl w:ilvl="1" w15:tentative="1">
      <w:start w:val="1"/>
      <w:numFmt w:val="decimal"/>
      <w:lvlText w:val="%1.%2."/>
      <w:lvlJc w:val="left"/>
      <w:pPr>
        <w:ind w:left="108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00" w:after="120"/>
      <w:outlineLvl w:val="0"/>
    </w:pPr>
    <w:rPr>
      <w:rFonts w:ascii="Arial" w:cs="Arial" w:eastAsia="Arial" w:hAnsi="Arial"/>
      <w:b/>
      <w:bCs/>
      <w:color w:val="1F4E79"/>
      <w:sz w:val="32"/>
      <w:szCs w:val="32"/>
    </w:rPr>
  </w:style>
  <w:style w:type="paragraph" w:styleId="Heading2">
    <w:name w:val="Heading 2"/>
    <w:basedOn w:val="Normal"/>
    <w:next w:val="Normal"/>
    <w:qFormat/>
    <w:pPr>
      <w:spacing w:before="240" w:after="80"/>
      <w:outlineLvl w:val="1"/>
    </w:pPr>
    <w:rPr>
      <w:rFonts w:ascii="Arial" w:cs="Arial" w:eastAsia="Arial" w:hAnsi="Arial"/>
      <w:b/>
      <w:bCs/>
      <w:color w:val="2E75B6"/>
      <w:sz w:val="26"/>
      <w:szCs w:val="26"/>
    </w:rPr>
  </w:style>
  <w:style w:type="paragraph" w:styleId="Heading3">
    <w:name w:val="Heading 3"/>
    <w:basedOn w:val="Normal"/>
    <w:next w:val="Normal"/>
    <w:qFormat/>
    <w:pPr>
      <w:spacing w:before="180" w:after="60"/>
      <w:outlineLvl w:val="2"/>
    </w:pPr>
    <w:rPr>
      <w:rFonts w:ascii="Arial" w:cs="Arial" w:eastAsia="Arial" w:hAnsi="Arial"/>
      <w:b/>
      <w:bCs/>
      <w:color w:val="2E75B6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2026-02-17T13:48:21.408Z</dcterms:created>
  <dcterms:modified xsi:type="dcterms:W3CDTF">2026-02-17T13:48:21.408Z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