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MRINMOYI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April 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Noapara,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Ghosh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Building &amp; Construction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........... "Mrinmoyi"..............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-means that it is of earth.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“Life comes from the earth and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returns to the earth”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Transitioning from the city to rural living is something many of us dream of.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Swapping the hustle and bustle of regular life to days of peace and tranquility and releasing the soul from the huge gigantic concrete structures!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In this project we wanted a simple earthy look.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From tiles to wall colors there we tried to give an organic feel 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We tried to provide maximum open spaces in both the interior and exterior of the building.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Such as the porch.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Listening to the birds in the morning and the crickets at night!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