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1216" w:rsidRDefault="008454EA">
      <w:hyperlink r:id="rId6" w:history="1">
        <w:r w:rsidR="00392522">
          <w:rPr>
            <w:rStyle w:val="Hyperlink"/>
          </w:rPr>
          <w:t>https://www.seedrs.com/</w:t>
        </w:r>
      </w:hyperlink>
    </w:p>
    <w:p w:rsidR="00392522" w:rsidRDefault="008454EA">
      <w:hyperlink r:id="rId7" w:history="1">
        <w:r w:rsidR="00392522">
          <w:rPr>
            <w:rStyle w:val="Hyperlink"/>
          </w:rPr>
          <w:t>https://www.seedinvest.com/offerings</w:t>
        </w:r>
      </w:hyperlink>
    </w:p>
    <w:p w:rsidR="00392522" w:rsidRDefault="008454EA">
      <w:hyperlink r:id="rId8" w:history="1">
        <w:r w:rsidR="00392522">
          <w:rPr>
            <w:rStyle w:val="Hyperlink"/>
          </w:rPr>
          <w:t>https://www.angelinvestmentnetwork.us/explore</w:t>
        </w:r>
      </w:hyperlink>
    </w:p>
    <w:p w:rsidR="00392522" w:rsidRDefault="008454EA">
      <w:hyperlink r:id="rId9" w:history="1">
        <w:r w:rsidR="00394EAB">
          <w:rPr>
            <w:rStyle w:val="Hyperlink"/>
          </w:rPr>
          <w:t>https://www.fundable.com/</w:t>
        </w:r>
      </w:hyperlink>
    </w:p>
    <w:p w:rsidR="002B7F52" w:rsidRDefault="002B7F52"/>
    <w:p w:rsidR="002B7F52" w:rsidRDefault="008454EA">
      <w:hyperlink r:id="rId10" w:history="1">
        <w:r w:rsidR="002B7F52">
          <w:rPr>
            <w:rStyle w:val="Hyperlink"/>
          </w:rPr>
          <w:t>https://www.indiegogo.com/</w:t>
        </w:r>
      </w:hyperlink>
    </w:p>
    <w:p w:rsidR="00744819" w:rsidRDefault="00744819"/>
    <w:p w:rsidR="00744819" w:rsidRDefault="008454EA">
      <w:hyperlink r:id="rId11" w:history="1">
        <w:r w:rsidR="00744819">
          <w:rPr>
            <w:rStyle w:val="Hyperlink"/>
          </w:rPr>
          <w:t>https://www.linkedin.com/company/fundable/</w:t>
        </w:r>
      </w:hyperlink>
    </w:p>
    <w:p w:rsidR="00E10701" w:rsidRDefault="00E10701"/>
    <w:p w:rsidR="00E10701" w:rsidRDefault="00E10701" w:rsidP="00E10701">
      <w:pPr>
        <w:pStyle w:val="Heading4"/>
        <w:shd w:val="clear" w:color="auto" w:fill="FFFFFF"/>
        <w:spacing w:before="0" w:beforeAutospacing="0" w:after="0" w:afterAutospacing="0"/>
        <w:textAlignment w:val="baseline"/>
        <w:rPr>
          <w:rFonts w:ascii="Helvetica" w:hAnsi="Helvetica" w:cs="Helvetica"/>
          <w:color w:val="333333"/>
          <w:sz w:val="22"/>
          <w:szCs w:val="22"/>
        </w:rPr>
      </w:pPr>
      <w:r>
        <w:rPr>
          <w:rFonts w:ascii="Helvetica" w:hAnsi="Helvetica" w:cs="Helvetica"/>
          <w:color w:val="333333"/>
          <w:sz w:val="22"/>
          <w:szCs w:val="22"/>
        </w:rPr>
        <w:t>Review and confirm the investor accreditation terms:</w:t>
      </w:r>
    </w:p>
    <w:p w:rsidR="00E10701" w:rsidRDefault="00E10701"/>
    <w:p w:rsidR="00E10701" w:rsidRPr="00E10701" w:rsidRDefault="00E10701" w:rsidP="00E10701">
      <w:pPr>
        <w:shd w:val="clear" w:color="auto" w:fill="FFFFFF"/>
        <w:spacing w:after="0" w:line="240" w:lineRule="auto"/>
        <w:textAlignment w:val="baseline"/>
        <w:outlineLvl w:val="3"/>
        <w:rPr>
          <w:rFonts w:ascii="Pictos" w:eastAsia="Times New Roman" w:hAnsi="Pictos" w:cs="Helvetica"/>
          <w:b/>
          <w:bCs/>
          <w:color w:val="999999"/>
        </w:rPr>
      </w:pPr>
      <w:r w:rsidRPr="00E10701">
        <w:rPr>
          <w:rFonts w:ascii="Pictos" w:eastAsia="Times New Roman" w:hAnsi="Pictos" w:cs="Helvetica"/>
          <w:b/>
          <w:bCs/>
          <w:color w:val="999999"/>
        </w:rPr>
        <w:t>I/we understand that listing on Fundable, LLC as a potential funding source is restricted to "Accredited Investors". In making this request for listing I/we represent that I/we qualify as an Accredited Investor as that term is defined in federal and state securities laws, and specifically that I/we meet one or more of the following requirements:</w:t>
      </w:r>
    </w:p>
    <w:p w:rsidR="00E10701" w:rsidRPr="00E10701" w:rsidRDefault="00E10701" w:rsidP="00E10701">
      <w:pPr>
        <w:shd w:val="clear" w:color="auto" w:fill="FFFFFF"/>
        <w:spacing w:after="0" w:line="240" w:lineRule="auto"/>
        <w:textAlignment w:val="baseline"/>
        <w:outlineLvl w:val="3"/>
        <w:rPr>
          <w:rFonts w:ascii="Pictos" w:eastAsia="Times New Roman" w:hAnsi="Pictos" w:cs="Helvetica"/>
          <w:b/>
          <w:bCs/>
          <w:color w:val="999999"/>
        </w:rPr>
      </w:pPr>
    </w:p>
    <w:p w:rsidR="00E10701" w:rsidRPr="00E10701" w:rsidRDefault="00E10701" w:rsidP="00E10701">
      <w:pPr>
        <w:shd w:val="clear" w:color="auto" w:fill="FFFFFF"/>
        <w:spacing w:after="0" w:line="240" w:lineRule="auto"/>
        <w:textAlignment w:val="baseline"/>
        <w:outlineLvl w:val="3"/>
        <w:rPr>
          <w:rFonts w:ascii="Pictos" w:eastAsia="Times New Roman" w:hAnsi="Pictos" w:cs="Helvetica"/>
          <w:b/>
          <w:bCs/>
          <w:color w:val="999999"/>
        </w:rPr>
      </w:pPr>
      <w:r w:rsidRPr="00E10701">
        <w:rPr>
          <w:rFonts w:ascii="Pictos" w:eastAsia="Times New Roman" w:hAnsi="Pictos" w:cs="Helvetica"/>
          <w:b/>
          <w:bCs/>
          <w:color w:val="999999"/>
        </w:rPr>
        <w:t>1. Any bank as defined in section 3(a)(2) of the Securities Act of 1933, or any savings and loan association or other institution as defined in section 3(a)(5)(A) of the Act whether acting in its individual or fiduciary capacity; any broker or dealer registered pursuant to section 15 of the Securities Exchange Act of 1934; any insurance company as defined in section 2(a)(13) of the Act; any investment company registered under the Investment Company Act of 1940 or a business development company as defined in section 2(a)(48) of that Act; any Small Business Investment Company licensed by the U.S. Small Business Administration under section 301(c) or (d) of the Small Business Investment Act of 1958; any plan established and maintained by a state, its political subdivisions, or any agency or instrumentality of a state or its political subdivisions, for the benefit of its employees, if such plan has total assets in excess of $5,000,000; any employee benefit plan within the meaning of the Employee Retirement Income Security Act of 1974 if the investment decision is made by a plan fiduciary, as defined in section 3(21) of such act, which is either a bank, savings and loan association, insurance company, or registered investment adviser, or if the employee benefit plan has total assets in excess of $5,000,000 or, if a self-directed plan, with investment decisions made solely by persons that are accredited investors;</w:t>
      </w:r>
    </w:p>
    <w:p w:rsidR="00E10701" w:rsidRPr="00E10701" w:rsidRDefault="00E10701" w:rsidP="00E10701">
      <w:pPr>
        <w:shd w:val="clear" w:color="auto" w:fill="FFFFFF"/>
        <w:spacing w:after="0" w:line="240" w:lineRule="auto"/>
        <w:textAlignment w:val="baseline"/>
        <w:outlineLvl w:val="3"/>
        <w:rPr>
          <w:rFonts w:ascii="Pictos" w:eastAsia="Times New Roman" w:hAnsi="Pictos" w:cs="Helvetica"/>
          <w:b/>
          <w:bCs/>
          <w:color w:val="999999"/>
        </w:rPr>
      </w:pPr>
    </w:p>
    <w:p w:rsidR="00E10701" w:rsidRPr="00E10701" w:rsidRDefault="00E10701" w:rsidP="00E10701">
      <w:pPr>
        <w:shd w:val="clear" w:color="auto" w:fill="FFFFFF"/>
        <w:spacing w:after="0" w:line="240" w:lineRule="auto"/>
        <w:textAlignment w:val="baseline"/>
        <w:outlineLvl w:val="3"/>
        <w:rPr>
          <w:rFonts w:ascii="Pictos" w:eastAsia="Times New Roman" w:hAnsi="Pictos" w:cs="Helvetica"/>
          <w:b/>
          <w:bCs/>
          <w:color w:val="999999"/>
        </w:rPr>
      </w:pPr>
      <w:r w:rsidRPr="00E10701">
        <w:rPr>
          <w:rFonts w:ascii="Pictos" w:eastAsia="Times New Roman" w:hAnsi="Pictos" w:cs="Helvetica"/>
          <w:b/>
          <w:bCs/>
          <w:color w:val="999999"/>
        </w:rPr>
        <w:t>2. Any private business development company as defined in section 202(a)(22) of the Investment Advisers Act of 1940;</w:t>
      </w:r>
    </w:p>
    <w:p w:rsidR="00E10701" w:rsidRPr="00E10701" w:rsidRDefault="00E10701" w:rsidP="00E10701">
      <w:pPr>
        <w:shd w:val="clear" w:color="auto" w:fill="FFFFFF"/>
        <w:spacing w:after="0" w:line="240" w:lineRule="auto"/>
        <w:textAlignment w:val="baseline"/>
        <w:outlineLvl w:val="3"/>
        <w:rPr>
          <w:rFonts w:ascii="Pictos" w:eastAsia="Times New Roman" w:hAnsi="Pictos" w:cs="Helvetica"/>
          <w:b/>
          <w:bCs/>
          <w:color w:val="999999"/>
        </w:rPr>
      </w:pPr>
    </w:p>
    <w:p w:rsidR="00E10701" w:rsidRPr="00E10701" w:rsidRDefault="00E10701" w:rsidP="00E10701">
      <w:pPr>
        <w:shd w:val="clear" w:color="auto" w:fill="FFFFFF"/>
        <w:spacing w:after="0" w:line="240" w:lineRule="auto"/>
        <w:textAlignment w:val="baseline"/>
        <w:outlineLvl w:val="3"/>
        <w:rPr>
          <w:rFonts w:ascii="Pictos" w:eastAsia="Times New Roman" w:hAnsi="Pictos" w:cs="Helvetica"/>
          <w:b/>
          <w:bCs/>
          <w:color w:val="999999"/>
        </w:rPr>
      </w:pPr>
      <w:r w:rsidRPr="00E10701">
        <w:rPr>
          <w:rFonts w:ascii="Pictos" w:eastAsia="Times New Roman" w:hAnsi="Pictos" w:cs="Helvetica"/>
          <w:b/>
          <w:bCs/>
          <w:color w:val="999999"/>
        </w:rPr>
        <w:t>3. Any organization described in section 501(c)(3) of the Internal Revenue Code, corporation, Massachusetts or similar business trust, or partnership, not formed for the specific purpose of acquiring the securities offered, with total assets in excess of $5,000,000;</w:t>
      </w:r>
    </w:p>
    <w:p w:rsidR="00E10701" w:rsidRPr="00E10701" w:rsidRDefault="00E10701" w:rsidP="00E10701">
      <w:pPr>
        <w:shd w:val="clear" w:color="auto" w:fill="FFFFFF"/>
        <w:spacing w:after="0" w:line="240" w:lineRule="auto"/>
        <w:textAlignment w:val="baseline"/>
        <w:outlineLvl w:val="3"/>
        <w:rPr>
          <w:rFonts w:ascii="Pictos" w:eastAsia="Times New Roman" w:hAnsi="Pictos" w:cs="Helvetica"/>
          <w:b/>
          <w:bCs/>
          <w:color w:val="999999"/>
        </w:rPr>
      </w:pPr>
    </w:p>
    <w:p w:rsidR="00E10701" w:rsidRPr="00E10701" w:rsidRDefault="00E10701" w:rsidP="00E10701">
      <w:pPr>
        <w:shd w:val="clear" w:color="auto" w:fill="FFFFFF"/>
        <w:spacing w:after="0" w:line="240" w:lineRule="auto"/>
        <w:textAlignment w:val="baseline"/>
        <w:outlineLvl w:val="3"/>
        <w:rPr>
          <w:rFonts w:ascii="Pictos" w:eastAsia="Times New Roman" w:hAnsi="Pictos" w:cs="Helvetica"/>
          <w:b/>
          <w:bCs/>
          <w:color w:val="999999"/>
        </w:rPr>
      </w:pPr>
      <w:r w:rsidRPr="00E10701">
        <w:rPr>
          <w:rFonts w:ascii="Pictos" w:eastAsia="Times New Roman" w:hAnsi="Pictos" w:cs="Helvetica"/>
          <w:b/>
          <w:bCs/>
          <w:color w:val="999999"/>
        </w:rPr>
        <w:t>4. Any director, executive officer, or general partner of the issuer of the securities being offered or sold, or any director, executive officer, or general partner of a general partner of that issuer;</w:t>
      </w:r>
    </w:p>
    <w:p w:rsidR="00E10701" w:rsidRPr="00E10701" w:rsidRDefault="00E10701" w:rsidP="00E10701">
      <w:pPr>
        <w:shd w:val="clear" w:color="auto" w:fill="FFFFFF"/>
        <w:spacing w:after="0" w:line="240" w:lineRule="auto"/>
        <w:textAlignment w:val="baseline"/>
        <w:outlineLvl w:val="3"/>
        <w:rPr>
          <w:rFonts w:ascii="Pictos" w:eastAsia="Times New Roman" w:hAnsi="Pictos" w:cs="Helvetica"/>
          <w:b/>
          <w:bCs/>
          <w:color w:val="999999"/>
        </w:rPr>
      </w:pPr>
    </w:p>
    <w:p w:rsidR="00E10701" w:rsidRPr="00E10701" w:rsidRDefault="00E10701" w:rsidP="00E10701">
      <w:pPr>
        <w:shd w:val="clear" w:color="auto" w:fill="FFFFFF"/>
        <w:spacing w:after="0" w:line="240" w:lineRule="auto"/>
        <w:textAlignment w:val="baseline"/>
        <w:outlineLvl w:val="3"/>
        <w:rPr>
          <w:rFonts w:ascii="Pictos" w:eastAsia="Times New Roman" w:hAnsi="Pictos" w:cs="Helvetica"/>
          <w:b/>
          <w:bCs/>
          <w:color w:val="999999"/>
        </w:rPr>
      </w:pPr>
      <w:r w:rsidRPr="00E10701">
        <w:rPr>
          <w:rFonts w:ascii="Pictos" w:eastAsia="Times New Roman" w:hAnsi="Pictos" w:cs="Helvetica"/>
          <w:b/>
          <w:bCs/>
          <w:color w:val="999999"/>
        </w:rPr>
        <w:t>5. Any natural person whose individual net worth, or joint net worth with that person's spouse, at the time of his purchase exceeds $1,000,000;</w:t>
      </w:r>
    </w:p>
    <w:p w:rsidR="00E10701" w:rsidRPr="00E10701" w:rsidRDefault="00E10701" w:rsidP="00E10701">
      <w:pPr>
        <w:shd w:val="clear" w:color="auto" w:fill="FFFFFF"/>
        <w:spacing w:after="0" w:line="240" w:lineRule="auto"/>
        <w:textAlignment w:val="baseline"/>
        <w:outlineLvl w:val="3"/>
        <w:rPr>
          <w:rFonts w:ascii="Pictos" w:eastAsia="Times New Roman" w:hAnsi="Pictos" w:cs="Helvetica"/>
          <w:b/>
          <w:bCs/>
          <w:color w:val="999999"/>
        </w:rPr>
      </w:pPr>
    </w:p>
    <w:p w:rsidR="00E10701" w:rsidRPr="00E10701" w:rsidRDefault="00E10701" w:rsidP="00E10701">
      <w:pPr>
        <w:shd w:val="clear" w:color="auto" w:fill="FFFFFF"/>
        <w:spacing w:after="0" w:line="240" w:lineRule="auto"/>
        <w:textAlignment w:val="baseline"/>
        <w:outlineLvl w:val="3"/>
        <w:rPr>
          <w:rFonts w:ascii="Pictos" w:eastAsia="Times New Roman" w:hAnsi="Pictos" w:cs="Helvetica"/>
          <w:b/>
          <w:bCs/>
          <w:color w:val="999999"/>
        </w:rPr>
      </w:pPr>
      <w:r w:rsidRPr="00E10701">
        <w:rPr>
          <w:rFonts w:ascii="Pictos" w:eastAsia="Times New Roman" w:hAnsi="Pictos" w:cs="Helvetica"/>
          <w:b/>
          <w:bCs/>
          <w:color w:val="999999"/>
        </w:rPr>
        <w:t>6. Any natural person who had an individual income in excess of $200,000 in each of the two most recent years or joint income with that person's spouse in excess of $300,000 in each of those years and has a reasonable expectation of reaching the same income level in the current year;</w:t>
      </w:r>
    </w:p>
    <w:p w:rsidR="00E10701" w:rsidRPr="00E10701" w:rsidRDefault="00E10701" w:rsidP="00E10701">
      <w:pPr>
        <w:shd w:val="clear" w:color="auto" w:fill="FFFFFF"/>
        <w:spacing w:after="0" w:line="240" w:lineRule="auto"/>
        <w:textAlignment w:val="baseline"/>
        <w:outlineLvl w:val="3"/>
        <w:rPr>
          <w:rFonts w:ascii="Pictos" w:eastAsia="Times New Roman" w:hAnsi="Pictos" w:cs="Helvetica"/>
          <w:b/>
          <w:bCs/>
          <w:color w:val="999999"/>
        </w:rPr>
      </w:pPr>
    </w:p>
    <w:p w:rsidR="00E10701" w:rsidRPr="00E10701" w:rsidRDefault="00E10701" w:rsidP="00E10701">
      <w:pPr>
        <w:shd w:val="clear" w:color="auto" w:fill="FFFFFF"/>
        <w:spacing w:after="0" w:line="240" w:lineRule="auto"/>
        <w:textAlignment w:val="baseline"/>
        <w:outlineLvl w:val="3"/>
        <w:rPr>
          <w:rFonts w:ascii="Pictos" w:eastAsia="Times New Roman" w:hAnsi="Pictos" w:cs="Helvetica"/>
          <w:b/>
          <w:bCs/>
          <w:color w:val="999999"/>
        </w:rPr>
      </w:pPr>
      <w:r w:rsidRPr="00E10701">
        <w:rPr>
          <w:rFonts w:ascii="Pictos" w:eastAsia="Times New Roman" w:hAnsi="Pictos" w:cs="Helvetica"/>
          <w:b/>
          <w:bCs/>
          <w:color w:val="999999"/>
        </w:rPr>
        <w:t>7. Any trust, with total assets in excess of $5,000,000, not formed for the specific purpose of acquiring the securities offered, whose purchase is directed by a sophisticated person as described in Rule 506(b)(2)(ii)</w:t>
      </w:r>
    </w:p>
    <w:p w:rsidR="00E10701" w:rsidRPr="00E10701" w:rsidRDefault="00E10701" w:rsidP="00E10701">
      <w:pPr>
        <w:shd w:val="clear" w:color="auto" w:fill="FFFFFF"/>
        <w:spacing w:after="0" w:line="240" w:lineRule="auto"/>
        <w:textAlignment w:val="baseline"/>
        <w:outlineLvl w:val="3"/>
        <w:rPr>
          <w:rFonts w:ascii="Pictos" w:eastAsia="Times New Roman" w:hAnsi="Pictos" w:cs="Helvetica"/>
          <w:b/>
          <w:bCs/>
          <w:color w:val="999999"/>
        </w:rPr>
      </w:pPr>
    </w:p>
    <w:p w:rsidR="00E10701" w:rsidRDefault="00E10701" w:rsidP="00E10701">
      <w:pPr>
        <w:shd w:val="clear" w:color="auto" w:fill="FFFFFF"/>
        <w:spacing w:after="0" w:line="240" w:lineRule="auto"/>
        <w:textAlignment w:val="baseline"/>
        <w:outlineLvl w:val="3"/>
        <w:rPr>
          <w:rFonts w:ascii="Pictos" w:eastAsia="Times New Roman" w:hAnsi="Pictos" w:cs="Helvetica"/>
          <w:b/>
          <w:bCs/>
          <w:color w:val="999999"/>
        </w:rPr>
      </w:pPr>
      <w:r w:rsidRPr="00E10701">
        <w:rPr>
          <w:rFonts w:ascii="Pictos" w:eastAsia="Times New Roman" w:hAnsi="Pictos" w:cs="Helvetica"/>
          <w:b/>
          <w:bCs/>
          <w:color w:val="999999"/>
        </w:rPr>
        <w:t>8. Any entity in which all of the equity owners are accredited investors</w:t>
      </w:r>
    </w:p>
    <w:p w:rsidR="00E10701" w:rsidRDefault="00E10701" w:rsidP="00E10701">
      <w:pPr>
        <w:shd w:val="clear" w:color="auto" w:fill="FFFFFF"/>
        <w:spacing w:after="0" w:line="240" w:lineRule="auto"/>
        <w:textAlignment w:val="baseline"/>
        <w:outlineLvl w:val="3"/>
        <w:rPr>
          <w:rFonts w:ascii="Pictos" w:eastAsia="Times New Roman" w:hAnsi="Pictos" w:cs="Helvetica"/>
          <w:b/>
          <w:bCs/>
          <w:color w:val="999999"/>
        </w:rPr>
      </w:pPr>
    </w:p>
    <w:p w:rsidR="00E10701" w:rsidRDefault="00E10701" w:rsidP="00E10701">
      <w:pPr>
        <w:shd w:val="clear" w:color="auto" w:fill="FFFFFF"/>
        <w:spacing w:after="0" w:line="240" w:lineRule="auto"/>
        <w:textAlignment w:val="baseline"/>
        <w:outlineLvl w:val="3"/>
        <w:rPr>
          <w:rFonts w:ascii="Pictos" w:eastAsia="Times New Roman" w:hAnsi="Pictos" w:cs="Helvetica"/>
          <w:b/>
          <w:bCs/>
          <w:color w:val="999999"/>
        </w:rPr>
      </w:pPr>
    </w:p>
    <w:p w:rsidR="00E10701" w:rsidRPr="00E10701" w:rsidRDefault="00E10701" w:rsidP="00E10701">
      <w:pPr>
        <w:shd w:val="clear" w:color="auto" w:fill="FFFFFF"/>
        <w:spacing w:after="0" w:line="240" w:lineRule="auto"/>
        <w:textAlignment w:val="baseline"/>
        <w:outlineLvl w:val="3"/>
        <w:rPr>
          <w:rFonts w:ascii="inherit" w:eastAsia="Times New Roman" w:hAnsi="inherit" w:cs="Helvetica"/>
          <w:b/>
          <w:bCs/>
          <w:color w:val="333333"/>
        </w:rPr>
      </w:pPr>
      <w:r w:rsidRPr="00E10701">
        <w:rPr>
          <w:rFonts w:ascii="Pictos" w:eastAsia="Times New Roman" w:hAnsi="Pictos" w:cs="Helvetica"/>
          <w:b/>
          <w:bCs/>
          <w:color w:val="999999"/>
        </w:rPr>
        <w:t>&amp;</w:t>
      </w:r>
      <w:r w:rsidRPr="00E10701">
        <w:rPr>
          <w:rFonts w:ascii="inherit" w:eastAsia="Times New Roman" w:hAnsi="inherit" w:cs="Helvetica"/>
          <w:b/>
          <w:bCs/>
          <w:color w:val="333333"/>
        </w:rPr>
        <w:t>Fundable does not guarantee investment quality.</w:t>
      </w:r>
    </w:p>
    <w:p w:rsidR="00E10701" w:rsidRPr="00E10701" w:rsidRDefault="00E10701" w:rsidP="00E10701">
      <w:pPr>
        <w:shd w:val="clear" w:color="auto" w:fill="FFFFFF"/>
        <w:spacing w:before="73" w:after="220" w:line="336" w:lineRule="atLeast"/>
        <w:textAlignment w:val="baseline"/>
        <w:rPr>
          <w:rFonts w:ascii="inherit" w:eastAsia="Times New Roman" w:hAnsi="inherit" w:cs="Helvetica"/>
          <w:color w:val="666666"/>
          <w:sz w:val="21"/>
          <w:szCs w:val="21"/>
        </w:rPr>
      </w:pPr>
      <w:r w:rsidRPr="00E10701">
        <w:rPr>
          <w:rFonts w:ascii="inherit" w:eastAsia="Times New Roman" w:hAnsi="inherit" w:cs="Helvetica"/>
          <w:color w:val="666666"/>
          <w:sz w:val="21"/>
          <w:szCs w:val="21"/>
        </w:rPr>
        <w:t>Information submitted on this site is provided directly by the companies using this site, not Fundable.  As such, the accuracy of information is 100% subject to the contribution by the companies.</w:t>
      </w:r>
    </w:p>
    <w:p w:rsidR="00E10701" w:rsidRPr="00E10701" w:rsidRDefault="00E10701" w:rsidP="00E10701">
      <w:pPr>
        <w:shd w:val="clear" w:color="auto" w:fill="FFFFFF"/>
        <w:spacing w:after="0" w:line="240" w:lineRule="auto"/>
        <w:textAlignment w:val="baseline"/>
        <w:outlineLvl w:val="3"/>
        <w:rPr>
          <w:rFonts w:ascii="inherit" w:eastAsia="Times New Roman" w:hAnsi="inherit" w:cs="Helvetica"/>
          <w:b/>
          <w:bCs/>
          <w:color w:val="333333"/>
        </w:rPr>
      </w:pPr>
      <w:r w:rsidRPr="00E10701">
        <w:rPr>
          <w:rFonts w:ascii="Pictos" w:eastAsia="Times New Roman" w:hAnsi="Pictos" w:cs="Helvetica"/>
          <w:b/>
          <w:bCs/>
          <w:color w:val="999999"/>
        </w:rPr>
        <w:t>&amp;</w:t>
      </w:r>
      <w:r w:rsidRPr="00E10701">
        <w:rPr>
          <w:rFonts w:ascii="inherit" w:eastAsia="Times New Roman" w:hAnsi="inherit" w:cs="Helvetica"/>
          <w:b/>
          <w:bCs/>
          <w:color w:val="333333"/>
        </w:rPr>
        <w:t>You are responsible for your own due diligence.</w:t>
      </w:r>
    </w:p>
    <w:p w:rsidR="00E10701" w:rsidRPr="00E10701" w:rsidRDefault="00E10701" w:rsidP="00E10701">
      <w:pPr>
        <w:shd w:val="clear" w:color="auto" w:fill="FFFFFF"/>
        <w:spacing w:before="73" w:after="220" w:line="336" w:lineRule="atLeast"/>
        <w:textAlignment w:val="baseline"/>
        <w:rPr>
          <w:rFonts w:ascii="inherit" w:eastAsia="Times New Roman" w:hAnsi="inherit" w:cs="Helvetica"/>
          <w:color w:val="666666"/>
          <w:sz w:val="21"/>
          <w:szCs w:val="21"/>
        </w:rPr>
      </w:pPr>
      <w:r w:rsidRPr="00E10701">
        <w:rPr>
          <w:rFonts w:ascii="inherit" w:eastAsia="Times New Roman" w:hAnsi="inherit" w:cs="Helvetica"/>
          <w:color w:val="666666"/>
          <w:sz w:val="21"/>
          <w:szCs w:val="21"/>
        </w:rPr>
        <w:t>Treat investments on Fundable as you would any other potential source of investment.  Assume everyone is a stranger and you will have to do all of your own homework to make sure a company is fit for your investment.</w:t>
      </w:r>
    </w:p>
    <w:p w:rsidR="00E10701" w:rsidRPr="00E10701" w:rsidRDefault="00E10701" w:rsidP="00E10701">
      <w:pPr>
        <w:shd w:val="clear" w:color="auto" w:fill="FFFFFF"/>
        <w:spacing w:after="0" w:line="240" w:lineRule="auto"/>
        <w:textAlignment w:val="baseline"/>
        <w:outlineLvl w:val="3"/>
        <w:rPr>
          <w:rFonts w:ascii="inherit" w:eastAsia="Times New Roman" w:hAnsi="inherit" w:cs="Helvetica"/>
          <w:b/>
          <w:bCs/>
          <w:color w:val="333333"/>
        </w:rPr>
      </w:pPr>
      <w:r w:rsidRPr="00E10701">
        <w:rPr>
          <w:rFonts w:ascii="Pictos" w:eastAsia="Times New Roman" w:hAnsi="Pictos" w:cs="Helvetica"/>
          <w:b/>
          <w:bCs/>
          <w:color w:val="999999"/>
        </w:rPr>
        <w:t>&amp;</w:t>
      </w:r>
      <w:r w:rsidRPr="00E10701">
        <w:rPr>
          <w:rFonts w:ascii="inherit" w:eastAsia="Times New Roman" w:hAnsi="inherit" w:cs="Helvetica"/>
          <w:b/>
          <w:bCs/>
          <w:color w:val="333333"/>
        </w:rPr>
        <w:t>Fundable does not broker or collect any funds whatsoever.</w:t>
      </w:r>
    </w:p>
    <w:p w:rsidR="00E10701" w:rsidRPr="00E10701" w:rsidRDefault="00E10701" w:rsidP="00E10701">
      <w:pPr>
        <w:shd w:val="clear" w:color="auto" w:fill="FFFFFF"/>
        <w:spacing w:before="73" w:after="220" w:line="336" w:lineRule="atLeast"/>
        <w:textAlignment w:val="baseline"/>
        <w:rPr>
          <w:rFonts w:ascii="inherit" w:eastAsia="Times New Roman" w:hAnsi="inherit" w:cs="Helvetica"/>
          <w:color w:val="666666"/>
          <w:sz w:val="21"/>
          <w:szCs w:val="21"/>
        </w:rPr>
      </w:pPr>
      <w:r w:rsidRPr="00E10701">
        <w:rPr>
          <w:rFonts w:ascii="inherit" w:eastAsia="Times New Roman" w:hAnsi="inherit" w:cs="Helvetica"/>
          <w:color w:val="666666"/>
          <w:sz w:val="21"/>
          <w:szCs w:val="21"/>
        </w:rPr>
        <w:t>Fundable is a platform to connect investors and companies.  We do not facilitate the actual transaction of capital or securities.  We may assist the two parties in communicating, but the actual transaction will happen exclusively between you and the company you are investing in.</w:t>
      </w:r>
    </w:p>
    <w:p w:rsidR="00E10701" w:rsidRPr="00E10701" w:rsidRDefault="00E10701" w:rsidP="00E10701">
      <w:pPr>
        <w:shd w:val="clear" w:color="auto" w:fill="FFFFFF"/>
        <w:spacing w:after="0" w:line="240" w:lineRule="auto"/>
        <w:textAlignment w:val="baseline"/>
        <w:outlineLvl w:val="3"/>
        <w:rPr>
          <w:rFonts w:ascii="inherit" w:eastAsia="Times New Roman" w:hAnsi="inherit" w:cs="Helvetica"/>
          <w:b/>
          <w:bCs/>
          <w:color w:val="333333"/>
        </w:rPr>
      </w:pPr>
      <w:r w:rsidRPr="00E10701">
        <w:rPr>
          <w:rFonts w:ascii="Pictos" w:eastAsia="Times New Roman" w:hAnsi="Pictos" w:cs="Helvetica"/>
          <w:b/>
          <w:bCs/>
          <w:color w:val="999999"/>
        </w:rPr>
        <w:t>&amp;</w:t>
      </w:r>
      <w:r w:rsidRPr="00E10701">
        <w:rPr>
          <w:rFonts w:ascii="inherit" w:eastAsia="Times New Roman" w:hAnsi="inherit" w:cs="Helvetica"/>
          <w:b/>
          <w:bCs/>
          <w:color w:val="333333"/>
        </w:rPr>
        <w:t>Invest completely at your own risk.</w:t>
      </w:r>
    </w:p>
    <w:p w:rsidR="00E10701" w:rsidRPr="00E10701" w:rsidRDefault="00E10701" w:rsidP="00E10701">
      <w:pPr>
        <w:shd w:val="clear" w:color="auto" w:fill="FFFFFF"/>
        <w:spacing w:before="73" w:after="220" w:line="336" w:lineRule="atLeast"/>
        <w:textAlignment w:val="baseline"/>
        <w:rPr>
          <w:rFonts w:ascii="inherit" w:eastAsia="Times New Roman" w:hAnsi="inherit" w:cs="Helvetica"/>
          <w:color w:val="666666"/>
          <w:sz w:val="21"/>
          <w:szCs w:val="21"/>
        </w:rPr>
      </w:pPr>
      <w:r w:rsidRPr="00E10701">
        <w:rPr>
          <w:rFonts w:ascii="inherit" w:eastAsia="Times New Roman" w:hAnsi="inherit" w:cs="Helvetica"/>
          <w:color w:val="666666"/>
          <w:sz w:val="21"/>
          <w:szCs w:val="21"/>
        </w:rPr>
        <w:t>Investing is incredibly risky and offers no guarantees whatsoever.  No matter what claims are made by any content available on this site, you are guaranteed nothing but risk.</w:t>
      </w:r>
    </w:p>
    <w:p w:rsidR="00E10701" w:rsidRDefault="00E10701"/>
    <w:sectPr w:rsidR="00E10701" w:rsidSect="002E774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D3889" w:rsidRDefault="002D3889" w:rsidP="00E422D1">
      <w:pPr>
        <w:spacing w:after="0" w:line="240" w:lineRule="auto"/>
      </w:pPr>
      <w:r>
        <w:separator/>
      </w:r>
    </w:p>
  </w:endnote>
  <w:endnote w:type="continuationSeparator" w:id="0">
    <w:p w:rsidR="002D3889" w:rsidRDefault="002D3889" w:rsidP="00E422D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Pictos">
    <w:altName w:val="Times New Roman"/>
    <w:panose1 w:val="00000000000000000000"/>
    <w:charset w:val="00"/>
    <w:family w:val="roman"/>
    <w:notTrueType/>
    <w:pitch w:val="default"/>
    <w:sig w:usb0="00000000" w:usb1="00000000" w:usb2="00000000" w:usb3="00000000" w:csb0="00000000"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D3889" w:rsidRDefault="002D3889" w:rsidP="00E422D1">
      <w:pPr>
        <w:spacing w:after="0" w:line="240" w:lineRule="auto"/>
      </w:pPr>
      <w:r>
        <w:separator/>
      </w:r>
    </w:p>
  </w:footnote>
  <w:footnote w:type="continuationSeparator" w:id="0">
    <w:p w:rsidR="002D3889" w:rsidRDefault="002D3889" w:rsidP="00E422D1">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2"/>
  <w:proofState w:spelling="clean"/>
  <w:defaultTabStop w:val="720"/>
  <w:characterSpacingControl w:val="doNotCompress"/>
  <w:footnotePr>
    <w:footnote w:id="-1"/>
    <w:footnote w:id="0"/>
  </w:footnotePr>
  <w:endnotePr>
    <w:endnote w:id="-1"/>
    <w:endnote w:id="0"/>
  </w:endnotePr>
  <w:compat/>
  <w:rsids>
    <w:rsidRoot w:val="00392522"/>
    <w:rsid w:val="002B7F52"/>
    <w:rsid w:val="002D3889"/>
    <w:rsid w:val="002E7744"/>
    <w:rsid w:val="00392522"/>
    <w:rsid w:val="00394EAB"/>
    <w:rsid w:val="00544C59"/>
    <w:rsid w:val="006031DD"/>
    <w:rsid w:val="00620035"/>
    <w:rsid w:val="00690831"/>
    <w:rsid w:val="00744819"/>
    <w:rsid w:val="008454EA"/>
    <w:rsid w:val="008A0FE0"/>
    <w:rsid w:val="00E10701"/>
    <w:rsid w:val="00E422D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7744"/>
  </w:style>
  <w:style w:type="paragraph" w:styleId="Heading4">
    <w:name w:val="heading 4"/>
    <w:basedOn w:val="Normal"/>
    <w:link w:val="Heading4Char"/>
    <w:uiPriority w:val="9"/>
    <w:qFormat/>
    <w:rsid w:val="00E1070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92522"/>
    <w:rPr>
      <w:color w:val="0000FF"/>
      <w:u w:val="single"/>
    </w:rPr>
  </w:style>
  <w:style w:type="character" w:customStyle="1" w:styleId="Heading4Char">
    <w:name w:val="Heading 4 Char"/>
    <w:basedOn w:val="DefaultParagraphFont"/>
    <w:link w:val="Heading4"/>
    <w:uiPriority w:val="9"/>
    <w:rsid w:val="00E10701"/>
    <w:rPr>
      <w:rFonts w:ascii="Times New Roman" w:eastAsia="Times New Roman" w:hAnsi="Times New Roman" w:cs="Times New Roman"/>
      <w:b/>
      <w:bCs/>
      <w:sz w:val="24"/>
      <w:szCs w:val="24"/>
    </w:rPr>
  </w:style>
  <w:style w:type="character" w:customStyle="1" w:styleId="pictos">
    <w:name w:val="pictos"/>
    <w:basedOn w:val="DefaultParagraphFont"/>
    <w:rsid w:val="00E10701"/>
  </w:style>
  <w:style w:type="paragraph" w:styleId="NormalWeb">
    <w:name w:val="Normal (Web)"/>
    <w:basedOn w:val="Normal"/>
    <w:uiPriority w:val="99"/>
    <w:semiHidden/>
    <w:unhideWhenUsed/>
    <w:rsid w:val="00E10701"/>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E422D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422D1"/>
  </w:style>
  <w:style w:type="paragraph" w:styleId="Footer">
    <w:name w:val="footer"/>
    <w:basedOn w:val="Normal"/>
    <w:link w:val="FooterChar"/>
    <w:uiPriority w:val="99"/>
    <w:semiHidden/>
    <w:unhideWhenUsed/>
    <w:rsid w:val="00E422D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422D1"/>
  </w:style>
</w:styles>
</file>

<file path=word/webSettings.xml><?xml version="1.0" encoding="utf-8"?>
<w:webSettings xmlns:r="http://schemas.openxmlformats.org/officeDocument/2006/relationships" xmlns:w="http://schemas.openxmlformats.org/wordprocessingml/2006/main">
  <w:divs>
    <w:div w:id="464978804">
      <w:bodyDiv w:val="1"/>
      <w:marLeft w:val="0"/>
      <w:marRight w:val="0"/>
      <w:marTop w:val="0"/>
      <w:marBottom w:val="0"/>
      <w:divBdr>
        <w:top w:val="none" w:sz="0" w:space="0" w:color="auto"/>
        <w:left w:val="none" w:sz="0" w:space="0" w:color="auto"/>
        <w:bottom w:val="none" w:sz="0" w:space="0" w:color="auto"/>
        <w:right w:val="none" w:sz="0" w:space="0" w:color="auto"/>
      </w:divBdr>
    </w:div>
    <w:div w:id="1764229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angelinvestmentnetwork.us/explore"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seedinvest.com/offerings"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eedrs.com/" TargetMode="External"/><Relationship Id="rId11" Type="http://schemas.openxmlformats.org/officeDocument/2006/relationships/hyperlink" Target="https://www.linkedin.com/company/fundable/" TargetMode="External"/><Relationship Id="rId5" Type="http://schemas.openxmlformats.org/officeDocument/2006/relationships/endnotes" Target="endnotes.xml"/><Relationship Id="rId10" Type="http://schemas.openxmlformats.org/officeDocument/2006/relationships/hyperlink" Target="https://www.indiegogo.com/" TargetMode="External"/><Relationship Id="rId4" Type="http://schemas.openxmlformats.org/officeDocument/2006/relationships/footnotes" Target="footnotes.xml"/><Relationship Id="rId9" Type="http://schemas.openxmlformats.org/officeDocument/2006/relationships/hyperlink" Target="https://www.fundab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2</Pages>
  <Words>702</Words>
  <Characters>4003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BuyMore</dc:creator>
  <cp:keywords/>
  <dc:description/>
  <cp:lastModifiedBy>BuyMore</cp:lastModifiedBy>
  <cp:revision>8</cp:revision>
  <dcterms:created xsi:type="dcterms:W3CDTF">2020-04-23T17:28:00Z</dcterms:created>
  <dcterms:modified xsi:type="dcterms:W3CDTF">2020-04-24T11:36:00Z</dcterms:modified>
</cp:coreProperties>
</file>