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203669"/>
          <w:sz w:val="56"/>
        </w:rPr>
        <w:t>05 — Test Plan &amp; Test Cases</w:t>
      </w:r>
    </w:p>
    <w:p>
      <w:pPr>
        <w:spacing w:after="280"/>
      </w:pPr>
      <w:r>
        <w:rPr>
          <w:color w:val="157E8C"/>
          <w:sz w:val="26"/>
        </w:rPr>
        <w:t>Test strategy, entry/exit criteria, role-based coverage and executable acceptance cases</w:t>
      </w:r>
    </w:p>
    <w:p>
      <w:pPr>
        <w:spacing w:after="400"/>
      </w:pPr>
      <w:r>
        <w:rPr>
          <w:color w:val="64748B"/>
          <w:sz w:val="18"/>
        </w:rPr>
        <w:t>Aadi CRM — Full-Stack Product Specification</w:t>
        <w:br/>
        <w:t>Version 1.0 | 29 October 2026</w:t>
        <w:br/>
        <w:t>React + TypeScript | FastAPI + Python | PostgreSQL</w:t>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03669"/>
          </w:tcPr>
          <w:p>
            <w:pPr>
              <w:spacing w:after="0"/>
            </w:pPr>
            <w:r/>
            <w:r>
              <w:rPr>
                <w:b/>
                <w:color w:val="FFFFFF"/>
                <w:sz w:val="18"/>
              </w:rPr>
              <w:t>Field</w:t>
            </w:r>
          </w:p>
        </w:tc>
        <w:tc>
          <w:tcPr>
            <w:tcW w:type="dxa" w:w="5083"/>
            <w:vAlign w:val="center"/>
            <w:shd w:fill="203669"/>
          </w:tcPr>
          <w:p>
            <w:pPr>
              <w:spacing w:after="0"/>
            </w:pPr>
            <w:r/>
            <w:r>
              <w:rPr>
                <w:b/>
                <w:color w:val="FFFFFF"/>
                <w:sz w:val="18"/>
              </w:rPr>
              <w:t>Value</w:t>
            </w:r>
          </w:p>
        </w:tc>
      </w:tr>
      <w:tr>
        <w:tc>
          <w:tcPr>
            <w:tcW w:type="dxa" w:w="5083"/>
            <w:vAlign w:val="center"/>
          </w:tcPr>
          <w:p>
            <w:pPr>
              <w:spacing w:after="0"/>
            </w:pPr>
            <w:r/>
            <w:r>
              <w:rPr>
                <w:b w:val="0"/>
                <w:sz w:val="17"/>
              </w:rPr>
              <w:t>Status</w:t>
            </w:r>
          </w:p>
        </w:tc>
        <w:tc>
          <w:tcPr>
            <w:tcW w:type="dxa" w:w="5083"/>
            <w:vAlign w:val="center"/>
          </w:tcPr>
          <w:p>
            <w:pPr>
              <w:spacing w:after="0"/>
            </w:pPr>
            <w:r/>
            <w:r>
              <w:rPr>
                <w:b w:val="0"/>
                <w:sz w:val="17"/>
              </w:rPr>
              <w:t>Draft for product/engineering review</w:t>
            </w:r>
          </w:p>
        </w:tc>
      </w:tr>
      <w:tr>
        <w:tc>
          <w:tcPr>
            <w:tcW w:type="dxa" w:w="5083"/>
            <w:vAlign w:val="center"/>
            <w:shd w:fill="F1F5FB"/>
          </w:tcPr>
          <w:p>
            <w:pPr>
              <w:spacing w:after="0"/>
            </w:pPr>
            <w:r/>
            <w:r>
              <w:rPr>
                <w:b w:val="0"/>
                <w:sz w:val="17"/>
              </w:rPr>
              <w:t>Source reviewed</w:t>
            </w:r>
          </w:p>
        </w:tc>
        <w:tc>
          <w:tcPr>
            <w:tcW w:type="dxa" w:w="5083"/>
            <w:vAlign w:val="center"/>
            <w:shd w:fill="F1F5FB"/>
          </w:tcPr>
          <w:p>
            <w:pPr>
              <w:spacing w:after="0"/>
            </w:pPr>
            <w:r/>
            <w:r>
              <w:rPr>
                <w:b w:val="0"/>
                <w:sz w:val="17"/>
              </w:rPr>
              <w:t>User-provided single-file HTML demo: !ssssstml.txt; premium responsive HTML derivative available in the conversation</w:t>
            </w:r>
          </w:p>
        </w:tc>
      </w:tr>
      <w:tr>
        <w:tc>
          <w:tcPr>
            <w:tcW w:type="dxa" w:w="5083"/>
            <w:vAlign w:val="center"/>
          </w:tcPr>
          <w:p>
            <w:pPr>
              <w:spacing w:after="0"/>
            </w:pPr>
            <w:r/>
            <w:r>
              <w:rPr>
                <w:b w:val="0"/>
                <w:sz w:val="17"/>
              </w:rPr>
              <w:t>Audience</w:t>
            </w:r>
          </w:p>
        </w:tc>
        <w:tc>
          <w:tcPr>
            <w:tcW w:type="dxa" w:w="5083"/>
            <w:vAlign w:val="center"/>
          </w:tcPr>
          <w:p>
            <w:pPr>
              <w:spacing w:after="0"/>
            </w:pPr>
            <w:r/>
            <w:r>
              <w:rPr>
                <w:b w:val="0"/>
                <w:sz w:val="17"/>
              </w:rPr>
              <w:t>Product owner, project manager, UI/UX, frontend, backend, QA, database and DevOps</w:t>
            </w:r>
          </w:p>
        </w:tc>
      </w:tr>
      <w:tr>
        <w:tc>
          <w:tcPr>
            <w:tcW w:type="dxa" w:w="5083"/>
            <w:vAlign w:val="center"/>
            <w:shd w:fill="F1F5FB"/>
          </w:tcPr>
          <w:p>
            <w:pPr>
              <w:spacing w:after="0"/>
            </w:pPr>
            <w:r/>
            <w:r>
              <w:rPr>
                <w:b w:val="0"/>
                <w:sz w:val="17"/>
              </w:rPr>
              <w:t>Versioning</w:t>
            </w:r>
          </w:p>
        </w:tc>
        <w:tc>
          <w:tcPr>
            <w:tcW w:type="dxa" w:w="5083"/>
            <w:vAlign w:val="center"/>
            <w:shd w:fill="F1F5FB"/>
          </w:tcPr>
          <w:p>
            <w:pPr>
              <w:spacing w:after="0"/>
            </w:pPr>
            <w:r/>
            <w:r>
              <w:rPr>
                <w:b w:val="0"/>
                <w:sz w:val="17"/>
              </w:rPr>
              <w:t>Baseline v1.0; update document version when scope, API contracts, data model or acceptance criteria change</w:t>
            </w:r>
          </w:p>
        </w:tc>
      </w:tr>
    </w:tbl>
    <w:p/>
    <w:p>
      <w:r>
        <w:br w:type="page"/>
      </w:r>
    </w:p>
    <w:p>
      <w:pPr>
        <w:pStyle w:val="Heading1"/>
      </w:pPr>
      <w:r>
        <w:t>1. Objectives</w:t>
      </w:r>
    </w:p>
    <w:p>
      <w:r>
        <w:t>Verify that the CRM behaves correctly across roles and tenants, preserves data, enforces business rules, supports responsive use, and rejects unauthorized access. Testing must validate the API and database independently of UI visibility.</w:t>
      </w:r>
    </w:p>
    <w:p>
      <w:pPr>
        <w:pStyle w:val="Heading1"/>
      </w:pPr>
      <w:r>
        <w:t>2. Test levels and ownership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03669"/>
          </w:tcPr>
          <w:p>
            <w:pPr>
              <w:spacing w:after="0"/>
            </w:pPr>
            <w:r/>
            <w:r>
              <w:rPr>
                <w:b/>
                <w:color w:val="FFFFFF"/>
                <w:sz w:val="18"/>
              </w:rPr>
              <w:t>Level</w:t>
            </w:r>
          </w:p>
        </w:tc>
        <w:tc>
          <w:tcPr>
            <w:tcW w:type="dxa" w:w="3389"/>
            <w:vAlign w:val="center"/>
            <w:shd w:fill="203669"/>
          </w:tcPr>
          <w:p>
            <w:pPr>
              <w:spacing w:after="0"/>
            </w:pPr>
            <w:r/>
            <w:r>
              <w:rPr>
                <w:b/>
                <w:color w:val="FFFFFF"/>
                <w:sz w:val="18"/>
              </w:rPr>
              <w:t>Coverage</w:t>
            </w:r>
          </w:p>
        </w:tc>
        <w:tc>
          <w:tcPr>
            <w:tcW w:type="dxa" w:w="3389"/>
            <w:vAlign w:val="center"/>
            <w:shd w:fill="203669"/>
          </w:tcPr>
          <w:p>
            <w:pPr>
              <w:spacing w:after="0"/>
            </w:pPr>
            <w:r/>
            <w:r>
              <w:rPr>
                <w:b/>
                <w:color w:val="FFFFFF"/>
                <w:sz w:val="18"/>
              </w:rPr>
              <w:t>Owner / tooling</w:t>
            </w:r>
          </w:p>
        </w:tc>
      </w:tr>
      <w:tr>
        <w:tc>
          <w:tcPr>
            <w:tcW w:type="dxa" w:w="3389"/>
            <w:vAlign w:val="center"/>
          </w:tcPr>
          <w:p>
            <w:pPr>
              <w:spacing w:after="0"/>
            </w:pPr>
            <w:r/>
            <w:r>
              <w:rPr>
                <w:b w:val="0"/>
                <w:sz w:val="17"/>
              </w:rPr>
              <w:t>Unit</w:t>
            </w:r>
          </w:p>
        </w:tc>
        <w:tc>
          <w:tcPr>
            <w:tcW w:type="dxa" w:w="3389"/>
            <w:vAlign w:val="center"/>
          </w:tcPr>
          <w:p>
            <w:pPr>
              <w:spacing w:after="0"/>
            </w:pPr>
            <w:r/>
            <w:r>
              <w:rPr>
                <w:b w:val="0"/>
                <w:sz w:val="17"/>
              </w:rPr>
              <w:t>Validators, permission policy, status transition rules, KPI calculators, follow-up due-date logic</w:t>
            </w:r>
          </w:p>
        </w:tc>
        <w:tc>
          <w:tcPr>
            <w:tcW w:type="dxa" w:w="3389"/>
            <w:vAlign w:val="center"/>
          </w:tcPr>
          <w:p>
            <w:pPr>
              <w:spacing w:after="0"/>
            </w:pPr>
            <w:r/>
            <w:r>
              <w:rPr>
                <w:b w:val="0"/>
                <w:sz w:val="17"/>
              </w:rPr>
              <w:t>Developers; pytest, Vitest</w:t>
            </w:r>
          </w:p>
        </w:tc>
      </w:tr>
      <w:tr>
        <w:tc>
          <w:tcPr>
            <w:tcW w:type="dxa" w:w="3389"/>
            <w:vAlign w:val="center"/>
            <w:shd w:fill="F1F5FB"/>
          </w:tcPr>
          <w:p>
            <w:pPr>
              <w:spacing w:after="0"/>
            </w:pPr>
            <w:r/>
            <w:r>
              <w:rPr>
                <w:b w:val="0"/>
                <w:sz w:val="17"/>
              </w:rPr>
              <w:t>Integration/API</w:t>
            </w:r>
          </w:p>
        </w:tc>
        <w:tc>
          <w:tcPr>
            <w:tcW w:type="dxa" w:w="3389"/>
            <w:vAlign w:val="center"/>
            <w:shd w:fill="F1F5FB"/>
          </w:tcPr>
          <w:p>
            <w:pPr>
              <w:spacing w:after="0"/>
            </w:pPr>
            <w:r/>
            <w:r>
              <w:rPr>
                <w:b w:val="0"/>
                <w:sz w:val="17"/>
              </w:rPr>
              <w:t>Auth, tenant scoping, CRUD, transactions, DB constraints, imports and reports</w:t>
            </w:r>
          </w:p>
        </w:tc>
        <w:tc>
          <w:tcPr>
            <w:tcW w:type="dxa" w:w="3389"/>
            <w:vAlign w:val="center"/>
            <w:shd w:fill="F1F5FB"/>
          </w:tcPr>
          <w:p>
            <w:pPr>
              <w:spacing w:after="0"/>
            </w:pPr>
            <w:r/>
            <w:r>
              <w:rPr>
                <w:b w:val="0"/>
                <w:sz w:val="17"/>
              </w:rPr>
              <w:t>Developers/QA; pytest + PostgreSQL</w:t>
            </w:r>
          </w:p>
        </w:tc>
      </w:tr>
      <w:tr>
        <w:tc>
          <w:tcPr>
            <w:tcW w:type="dxa" w:w="3389"/>
            <w:vAlign w:val="center"/>
          </w:tcPr>
          <w:p>
            <w:pPr>
              <w:spacing w:after="0"/>
            </w:pPr>
            <w:r/>
            <w:r>
              <w:rPr>
                <w:b w:val="0"/>
                <w:sz w:val="17"/>
              </w:rPr>
              <w:t>Component/UI</w:t>
            </w:r>
          </w:p>
        </w:tc>
        <w:tc>
          <w:tcPr>
            <w:tcW w:type="dxa" w:w="3389"/>
            <w:vAlign w:val="center"/>
          </w:tcPr>
          <w:p>
            <w:pPr>
              <w:spacing w:after="0"/>
            </w:pPr>
            <w:r/>
            <w:r>
              <w:rPr>
                <w:b w:val="0"/>
                <w:sz w:val="17"/>
              </w:rPr>
              <w:t>Forms, tables, filters, modals, loading/error/empty states, keyboard use</w:t>
            </w:r>
          </w:p>
        </w:tc>
        <w:tc>
          <w:tcPr>
            <w:tcW w:type="dxa" w:w="3389"/>
            <w:vAlign w:val="center"/>
          </w:tcPr>
          <w:p>
            <w:pPr>
              <w:spacing w:after="0"/>
            </w:pPr>
            <w:r/>
            <w:r>
              <w:rPr>
                <w:b w:val="0"/>
                <w:sz w:val="17"/>
              </w:rPr>
              <w:t>Frontend/QA; React Testing Library</w:t>
            </w:r>
          </w:p>
        </w:tc>
      </w:tr>
      <w:tr>
        <w:tc>
          <w:tcPr>
            <w:tcW w:type="dxa" w:w="3389"/>
            <w:vAlign w:val="center"/>
            <w:shd w:fill="F1F5FB"/>
          </w:tcPr>
          <w:p>
            <w:pPr>
              <w:spacing w:after="0"/>
            </w:pPr>
            <w:r/>
            <w:r>
              <w:rPr>
                <w:b w:val="0"/>
                <w:sz w:val="17"/>
              </w:rPr>
              <w:t>E2E</w:t>
            </w:r>
          </w:p>
        </w:tc>
        <w:tc>
          <w:tcPr>
            <w:tcW w:type="dxa" w:w="3389"/>
            <w:vAlign w:val="center"/>
            <w:shd w:fill="F1F5FB"/>
          </w:tcPr>
          <w:p>
            <w:pPr>
              <w:spacing w:after="0"/>
            </w:pPr>
            <w:r/>
            <w:r>
              <w:rPr>
                <w:b w:val="0"/>
                <w:sz w:val="17"/>
              </w:rPr>
              <w:t>Login → create lead → assign → follow-up → status update → dashboard</w:t>
            </w:r>
          </w:p>
        </w:tc>
        <w:tc>
          <w:tcPr>
            <w:tcW w:type="dxa" w:w="3389"/>
            <w:vAlign w:val="center"/>
            <w:shd w:fill="F1F5FB"/>
          </w:tcPr>
          <w:p>
            <w:pPr>
              <w:spacing w:after="0"/>
            </w:pPr>
            <w:r/>
            <w:r>
              <w:rPr>
                <w:b w:val="0"/>
                <w:sz w:val="17"/>
              </w:rPr>
              <w:t>QA; Playwright</w:t>
            </w:r>
          </w:p>
        </w:tc>
      </w:tr>
      <w:tr>
        <w:tc>
          <w:tcPr>
            <w:tcW w:type="dxa" w:w="3389"/>
            <w:vAlign w:val="center"/>
          </w:tcPr>
          <w:p>
            <w:pPr>
              <w:spacing w:after="0"/>
            </w:pPr>
            <w:r/>
            <w:r>
              <w:rPr>
                <w:b w:val="0"/>
                <w:sz w:val="17"/>
              </w:rPr>
              <w:t>Security</w:t>
            </w:r>
          </w:p>
        </w:tc>
        <w:tc>
          <w:tcPr>
            <w:tcW w:type="dxa" w:w="3389"/>
            <w:vAlign w:val="center"/>
          </w:tcPr>
          <w:p>
            <w:pPr>
              <w:spacing w:after="0"/>
            </w:pPr>
            <w:r/>
            <w:r>
              <w:rPr>
                <w:b w:val="0"/>
                <w:sz w:val="17"/>
              </w:rPr>
              <w:t>BOLA/IDOR, broken authentication, role escalation, mass assignment, rate limits, export scope</w:t>
            </w:r>
          </w:p>
        </w:tc>
        <w:tc>
          <w:tcPr>
            <w:tcW w:type="dxa" w:w="3389"/>
            <w:vAlign w:val="center"/>
          </w:tcPr>
          <w:p>
            <w:pPr>
              <w:spacing w:after="0"/>
            </w:pPr>
            <w:r/>
            <w:r>
              <w:rPr>
                <w:b w:val="0"/>
                <w:sz w:val="17"/>
              </w:rPr>
              <w:t>QA/security reviewer; OWASP API Top 10-informed</w:t>
            </w:r>
          </w:p>
        </w:tc>
      </w:tr>
      <w:tr>
        <w:tc>
          <w:tcPr>
            <w:tcW w:type="dxa" w:w="3389"/>
            <w:vAlign w:val="center"/>
            <w:shd w:fill="F1F5FB"/>
          </w:tcPr>
          <w:p>
            <w:pPr>
              <w:spacing w:after="0"/>
            </w:pPr>
            <w:r/>
            <w:r>
              <w:rPr>
                <w:b w:val="0"/>
                <w:sz w:val="17"/>
              </w:rPr>
              <w:t>Performance</w:t>
            </w:r>
          </w:p>
        </w:tc>
        <w:tc>
          <w:tcPr>
            <w:tcW w:type="dxa" w:w="3389"/>
            <w:vAlign w:val="center"/>
            <w:shd w:fill="F1F5FB"/>
          </w:tcPr>
          <w:p>
            <w:pPr>
              <w:spacing w:after="0"/>
            </w:pPr>
            <w:r/>
            <w:r>
              <w:rPr>
                <w:b w:val="0"/>
                <w:sz w:val="17"/>
              </w:rPr>
              <w:t>Lead list/search, dashboard aggregates, import limits, concurrency</w:t>
            </w:r>
          </w:p>
        </w:tc>
        <w:tc>
          <w:tcPr>
            <w:tcW w:type="dxa" w:w="3389"/>
            <w:vAlign w:val="center"/>
            <w:shd w:fill="F1F5FB"/>
          </w:tcPr>
          <w:p>
            <w:pPr>
              <w:spacing w:after="0"/>
            </w:pPr>
            <w:r/>
            <w:r>
              <w:rPr>
                <w:b w:val="0"/>
                <w:sz w:val="17"/>
              </w:rPr>
              <w:t>QA/DevOps; load test tool selected by team</w:t>
            </w:r>
          </w:p>
        </w:tc>
      </w:tr>
      <w:tr>
        <w:tc>
          <w:tcPr>
            <w:tcW w:type="dxa" w:w="3389"/>
            <w:vAlign w:val="center"/>
          </w:tcPr>
          <w:p>
            <w:pPr>
              <w:spacing w:after="0"/>
            </w:pPr>
            <w:r/>
            <w:r>
              <w:rPr>
                <w:b w:val="0"/>
                <w:sz w:val="17"/>
              </w:rPr>
              <w:t>UAT</w:t>
            </w:r>
          </w:p>
        </w:tc>
        <w:tc>
          <w:tcPr>
            <w:tcW w:type="dxa" w:w="3389"/>
            <w:vAlign w:val="center"/>
          </w:tcPr>
          <w:p>
            <w:pPr>
              <w:spacing w:after="0"/>
            </w:pPr>
            <w:r/>
            <w:r>
              <w:rPr>
                <w:b w:val="0"/>
                <w:sz w:val="17"/>
              </w:rPr>
              <w:t>Realistic role-based scenarios and workflow sign-off</w:t>
            </w:r>
          </w:p>
        </w:tc>
        <w:tc>
          <w:tcPr>
            <w:tcW w:type="dxa" w:w="3389"/>
            <w:vAlign w:val="center"/>
          </w:tcPr>
          <w:p>
            <w:pPr>
              <w:spacing w:after="0"/>
            </w:pPr>
            <w:r/>
            <w:r>
              <w:rPr>
                <w:b w:val="0"/>
                <w:sz w:val="17"/>
              </w:rPr>
              <w:t>Product owner and representative users</w:t>
            </w:r>
          </w:p>
        </w:tc>
      </w:tr>
    </w:tbl>
    <w:p/>
    <w:p>
      <w:pPr>
        <w:pStyle w:val="Heading1"/>
      </w:pPr>
      <w:r>
        <w:t>3. Entry criteria</w:t>
      </w:r>
    </w:p>
    <w:p>
      <w:pPr>
        <w:pStyle w:val="ListBullet"/>
        <w:spacing w:after="40"/>
      </w:pPr>
      <w:r>
        <w:t>Approved PRD role matrix and acceptance criteria.</w:t>
      </w:r>
    </w:p>
    <w:p>
      <w:pPr>
        <w:pStyle w:val="ListBullet"/>
        <w:spacing w:after="40"/>
      </w:pPr>
      <w:r>
        <w:t>Stable staging environment and synthetic test data for at least two tenants.</w:t>
      </w:r>
    </w:p>
    <w:p>
      <w:pPr>
        <w:pStyle w:val="ListBullet"/>
        <w:spacing w:after="40"/>
      </w:pPr>
      <w:r>
        <w:t>Migrations applied; test accounts prepared for each role.</w:t>
      </w:r>
    </w:p>
    <w:p>
      <w:pPr>
        <w:pStyle w:val="ListBullet"/>
        <w:spacing w:after="40"/>
      </w:pPr>
      <w:r>
        <w:t>Build and basic health checks green.</w:t>
      </w:r>
    </w:p>
    <w:p>
      <w:pPr>
        <w:pStyle w:val="Heading1"/>
      </w:pPr>
      <w:r>
        <w:t>4. Exit criteria</w:t>
      </w:r>
    </w:p>
    <w:p>
      <w:pPr>
        <w:pStyle w:val="ListBullet"/>
        <w:spacing w:after="40"/>
      </w:pPr>
      <w:r>
        <w:t>All P0/P1 tests pass; all critical/high defects closed or formally risk-accepted.</w:t>
      </w:r>
    </w:p>
    <w:p>
      <w:pPr>
        <w:pStyle w:val="ListBullet"/>
        <w:spacing w:after="40"/>
      </w:pPr>
      <w:r>
        <w:t>Cross-tenant authorization suite passes.</w:t>
      </w:r>
    </w:p>
    <w:p>
      <w:pPr>
        <w:pStyle w:val="ListBullet"/>
        <w:spacing w:after="40"/>
      </w:pPr>
      <w:r>
        <w:t>Core workflows pass on desktop and mobile viewports.</w:t>
      </w:r>
    </w:p>
    <w:p>
      <w:pPr>
        <w:pStyle w:val="ListBullet"/>
        <w:spacing w:after="40"/>
      </w:pPr>
      <w:r>
        <w:t>Migration/backup restore and deployment smoke test pass.</w:t>
      </w:r>
    </w:p>
    <w:p>
      <w:pPr>
        <w:pStyle w:val="ListBullet"/>
        <w:spacing w:after="40"/>
      </w:pPr>
      <w:r>
        <w:t>Product owner signs UAT acceptance and release notes list known limitations.</w:t>
      </w:r>
    </w:p>
    <w:p>
      <w:pPr>
        <w:pStyle w:val="Heading1"/>
      </w:pPr>
      <w:r>
        <w:t>5. Test cases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03669"/>
          </w:tcPr>
          <w:p>
            <w:pPr>
              <w:spacing w:after="0"/>
            </w:pPr>
            <w:r/>
            <w:r>
              <w:rPr>
                <w:b/>
                <w:color w:val="FFFFFF"/>
                <w:sz w:val="18"/>
              </w:rPr>
              <w:t>ID</w:t>
            </w:r>
          </w:p>
        </w:tc>
        <w:tc>
          <w:tcPr>
            <w:tcW w:type="dxa" w:w="2033"/>
            <w:vAlign w:val="center"/>
            <w:shd w:fill="203669"/>
          </w:tcPr>
          <w:p>
            <w:pPr>
              <w:spacing w:after="0"/>
            </w:pPr>
            <w:r/>
            <w:r>
              <w:rPr>
                <w:b/>
                <w:color w:val="FFFFFF"/>
                <w:sz w:val="18"/>
              </w:rPr>
              <w:t>Scenario</w:t>
            </w:r>
          </w:p>
        </w:tc>
        <w:tc>
          <w:tcPr>
            <w:tcW w:type="dxa" w:w="2033"/>
            <w:vAlign w:val="center"/>
            <w:shd w:fill="203669"/>
          </w:tcPr>
          <w:p>
            <w:pPr>
              <w:spacing w:after="0"/>
            </w:pPr>
            <w:r/>
            <w:r>
              <w:rPr>
                <w:b/>
                <w:color w:val="FFFFFF"/>
                <w:sz w:val="18"/>
              </w:rPr>
              <w:t>Precondition / steps</w:t>
            </w:r>
          </w:p>
        </w:tc>
        <w:tc>
          <w:tcPr>
            <w:tcW w:type="dxa" w:w="2033"/>
            <w:vAlign w:val="center"/>
            <w:shd w:fill="203669"/>
          </w:tcPr>
          <w:p>
            <w:pPr>
              <w:spacing w:after="0"/>
            </w:pPr>
            <w:r/>
            <w:r>
              <w:rPr>
                <w:b/>
                <w:color w:val="FFFFFF"/>
                <w:sz w:val="18"/>
              </w:rPr>
              <w:t>Expected result</w:t>
            </w:r>
          </w:p>
        </w:tc>
        <w:tc>
          <w:tcPr>
            <w:tcW w:type="dxa" w:w="2033"/>
            <w:vAlign w:val="center"/>
            <w:shd w:fill="203669"/>
          </w:tcPr>
          <w:p>
            <w:pPr>
              <w:spacing w:after="0"/>
            </w:pPr>
            <w:r/>
            <w:r>
              <w:rPr>
                <w:b/>
                <w:color w:val="FFFFFF"/>
                <w:sz w:val="18"/>
              </w:rPr>
              <w:t>Priority</w:t>
            </w:r>
          </w:p>
        </w:tc>
      </w:tr>
      <w:tr>
        <w:tc>
          <w:tcPr>
            <w:tcW w:type="dxa" w:w="2033"/>
            <w:vAlign w:val="center"/>
          </w:tcPr>
          <w:p>
            <w:pPr>
              <w:spacing w:after="0"/>
            </w:pPr>
            <w:r/>
            <w:r>
              <w:rPr>
                <w:b w:val="0"/>
                <w:sz w:val="17"/>
              </w:rPr>
              <w:t>TC-AUTH-001</w:t>
            </w:r>
          </w:p>
        </w:tc>
        <w:tc>
          <w:tcPr>
            <w:tcW w:type="dxa" w:w="2033"/>
            <w:vAlign w:val="center"/>
          </w:tcPr>
          <w:p>
            <w:pPr>
              <w:spacing w:after="0"/>
            </w:pPr>
            <w:r/>
            <w:r>
              <w:rPr>
                <w:b w:val="0"/>
                <w:sz w:val="17"/>
              </w:rPr>
              <w:t>Login with valid active user</w:t>
            </w:r>
          </w:p>
        </w:tc>
        <w:tc>
          <w:tcPr>
            <w:tcW w:type="dxa" w:w="2033"/>
            <w:vAlign w:val="center"/>
          </w:tcPr>
          <w:p>
            <w:pPr>
              <w:spacing w:after="0"/>
            </w:pPr>
            <w:r/>
            <w:r>
              <w:rPr>
                <w:b w:val="0"/>
                <w:sz w:val="17"/>
              </w:rPr>
              <w:t>Valid credentials for active user</w:t>
            </w:r>
          </w:p>
        </w:tc>
        <w:tc>
          <w:tcPr>
            <w:tcW w:type="dxa" w:w="2033"/>
            <w:vAlign w:val="center"/>
          </w:tcPr>
          <w:p>
            <w:pPr>
              <w:spacing w:after="0"/>
            </w:pPr>
            <w:r/>
            <w:r>
              <w:rPr>
                <w:b w:val="0"/>
                <w:sz w:val="17"/>
              </w:rPr>
              <w:t>Session established; user/tenant/permissions loaded; no secrets returned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TC-AUTH-002</w:t>
            </w:r>
          </w:p>
        </w:tc>
        <w:tc>
          <w:tcPr>
            <w:tcW w:type="dxa" w:w="2033"/>
            <w:vAlign w:val="center"/>
            <w:shd w:fill="F1F5FB"/>
          </w:tcPr>
          <w:p>
            <w:pPr>
              <w:spacing w:after="0"/>
            </w:pPr>
            <w:r/>
            <w:r>
              <w:rPr>
                <w:b w:val="0"/>
                <w:sz w:val="17"/>
              </w:rPr>
              <w:t>Invalid login</w:t>
            </w:r>
          </w:p>
        </w:tc>
        <w:tc>
          <w:tcPr>
            <w:tcW w:type="dxa" w:w="2033"/>
            <w:vAlign w:val="center"/>
            <w:shd w:fill="F1F5FB"/>
          </w:tcPr>
          <w:p>
            <w:pPr>
              <w:spacing w:after="0"/>
            </w:pPr>
            <w:r/>
            <w:r>
              <w:rPr>
                <w:b w:val="0"/>
                <w:sz w:val="17"/>
              </w:rPr>
              <w:t>Wrong password</w:t>
            </w:r>
          </w:p>
        </w:tc>
        <w:tc>
          <w:tcPr>
            <w:tcW w:type="dxa" w:w="2033"/>
            <w:vAlign w:val="center"/>
            <w:shd w:fill="F1F5FB"/>
          </w:tcPr>
          <w:p>
            <w:pPr>
              <w:spacing w:after="0"/>
            </w:pPr>
            <w:r/>
            <w:r>
              <w:rPr>
                <w:b w:val="0"/>
                <w:sz w:val="17"/>
              </w:rPr>
              <w:t>Generic authentication error; no account existence leak; rate-limit counter applies</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TC-AUTH-003</w:t>
            </w:r>
          </w:p>
        </w:tc>
        <w:tc>
          <w:tcPr>
            <w:tcW w:type="dxa" w:w="2033"/>
            <w:vAlign w:val="center"/>
          </w:tcPr>
          <w:p>
            <w:pPr>
              <w:spacing w:after="0"/>
            </w:pPr>
            <w:r/>
            <w:r>
              <w:rPr>
                <w:b w:val="0"/>
                <w:sz w:val="17"/>
              </w:rPr>
              <w:t>Disabled account</w:t>
            </w:r>
          </w:p>
        </w:tc>
        <w:tc>
          <w:tcPr>
            <w:tcW w:type="dxa" w:w="2033"/>
            <w:vAlign w:val="center"/>
          </w:tcPr>
          <w:p>
            <w:pPr>
              <w:spacing w:after="0"/>
            </w:pPr>
            <w:r/>
            <w:r>
              <w:rPr>
                <w:b w:val="0"/>
                <w:sz w:val="17"/>
              </w:rPr>
              <w:t>Disabled user credentials</w:t>
            </w:r>
          </w:p>
        </w:tc>
        <w:tc>
          <w:tcPr>
            <w:tcW w:type="dxa" w:w="2033"/>
            <w:vAlign w:val="center"/>
          </w:tcPr>
          <w:p>
            <w:pPr>
              <w:spacing w:after="0"/>
            </w:pPr>
            <w:r/>
            <w:r>
              <w:rPr>
                <w:b w:val="0"/>
                <w:sz w:val="17"/>
              </w:rPr>
              <w:t>Login denied; no session created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TC-AUTH-004</w:t>
            </w:r>
          </w:p>
        </w:tc>
        <w:tc>
          <w:tcPr>
            <w:tcW w:type="dxa" w:w="2033"/>
            <w:vAlign w:val="center"/>
            <w:shd w:fill="F1F5FB"/>
          </w:tcPr>
          <w:p>
            <w:pPr>
              <w:spacing w:after="0"/>
            </w:pPr>
            <w:r/>
            <w:r>
              <w:rPr>
                <w:b w:val="0"/>
                <w:sz w:val="17"/>
              </w:rPr>
              <w:t>Logout/revocation</w:t>
            </w:r>
          </w:p>
        </w:tc>
        <w:tc>
          <w:tcPr>
            <w:tcW w:type="dxa" w:w="2033"/>
            <w:vAlign w:val="center"/>
            <w:shd w:fill="F1F5FB"/>
          </w:tcPr>
          <w:p>
            <w:pPr>
              <w:spacing w:after="0"/>
            </w:pPr>
            <w:r/>
            <w:r>
              <w:rPr>
                <w:b w:val="0"/>
                <w:sz w:val="17"/>
              </w:rPr>
              <w:t>Authenticated user logs out then reuses credential</w:t>
            </w:r>
          </w:p>
        </w:tc>
        <w:tc>
          <w:tcPr>
            <w:tcW w:type="dxa" w:w="2033"/>
            <w:vAlign w:val="center"/>
            <w:shd w:fill="F1F5FB"/>
          </w:tcPr>
          <w:p>
            <w:pPr>
              <w:spacing w:after="0"/>
            </w:pPr>
            <w:r/>
            <w:r>
              <w:rPr>
                <w:b w:val="0"/>
                <w:sz w:val="17"/>
              </w:rPr>
              <w:t>Session invalidated; protected API denied</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TC-AUTH-005</w:t>
            </w:r>
          </w:p>
        </w:tc>
        <w:tc>
          <w:tcPr>
            <w:tcW w:type="dxa" w:w="2033"/>
            <w:vAlign w:val="center"/>
          </w:tcPr>
          <w:p>
            <w:pPr>
              <w:spacing w:after="0"/>
            </w:pPr>
            <w:r/>
            <w:r>
              <w:rPr>
                <w:b w:val="0"/>
                <w:sz w:val="17"/>
              </w:rPr>
              <w:t>Expired session</w:t>
            </w:r>
          </w:p>
        </w:tc>
        <w:tc>
          <w:tcPr>
            <w:tcW w:type="dxa" w:w="2033"/>
            <w:vAlign w:val="center"/>
          </w:tcPr>
          <w:p>
            <w:pPr>
              <w:spacing w:after="0"/>
            </w:pPr>
            <w:r/>
            <w:r>
              <w:rPr>
                <w:b w:val="0"/>
                <w:sz w:val="17"/>
              </w:rPr>
              <w:t>Expired access/session credential</w:t>
            </w:r>
          </w:p>
        </w:tc>
        <w:tc>
          <w:tcPr>
            <w:tcW w:type="dxa" w:w="2033"/>
            <w:vAlign w:val="center"/>
          </w:tcPr>
          <w:p>
            <w:pPr>
              <w:spacing w:after="0"/>
            </w:pPr>
            <w:r/>
            <w:r>
              <w:rPr>
                <w:b w:val="0"/>
                <w:sz w:val="17"/>
              </w:rPr>
              <w:t>401 response; frontend returns to login without exposing data</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TC-TEN-001</w:t>
            </w:r>
          </w:p>
        </w:tc>
        <w:tc>
          <w:tcPr>
            <w:tcW w:type="dxa" w:w="2033"/>
            <w:vAlign w:val="center"/>
            <w:shd w:fill="F1F5FB"/>
          </w:tcPr>
          <w:p>
            <w:pPr>
              <w:spacing w:after="0"/>
            </w:pPr>
            <w:r/>
            <w:r>
              <w:rPr>
                <w:b w:val="0"/>
                <w:sz w:val="17"/>
              </w:rPr>
              <w:t>Cross-tenant lead read</w:t>
            </w:r>
          </w:p>
        </w:tc>
        <w:tc>
          <w:tcPr>
            <w:tcW w:type="dxa" w:w="2033"/>
            <w:vAlign w:val="center"/>
            <w:shd w:fill="F1F5FB"/>
          </w:tcPr>
          <w:p>
            <w:pPr>
              <w:spacing w:after="0"/>
            </w:pPr>
            <w:r/>
            <w:r>
              <w:rPr>
                <w:b w:val="0"/>
                <w:sz w:val="17"/>
              </w:rPr>
              <w:t>Tenant A user requests Tenant B lead UUID</w:t>
            </w:r>
          </w:p>
        </w:tc>
        <w:tc>
          <w:tcPr>
            <w:tcW w:type="dxa" w:w="2033"/>
            <w:vAlign w:val="center"/>
            <w:shd w:fill="F1F5FB"/>
          </w:tcPr>
          <w:p>
            <w:pPr>
              <w:spacing w:after="0"/>
            </w:pPr>
            <w:r/>
            <w:r>
              <w:rPr>
                <w:b w:val="0"/>
                <w:sz w:val="17"/>
              </w:rPr>
              <w:t>No record content disclosed; request denied or safe 404</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TC-TEN-002</w:t>
            </w:r>
          </w:p>
        </w:tc>
        <w:tc>
          <w:tcPr>
            <w:tcW w:type="dxa" w:w="2033"/>
            <w:vAlign w:val="center"/>
          </w:tcPr>
          <w:p>
            <w:pPr>
              <w:spacing w:after="0"/>
            </w:pPr>
            <w:r/>
            <w:r>
              <w:rPr>
                <w:b w:val="0"/>
                <w:sz w:val="17"/>
              </w:rPr>
              <w:t>Cross-tenant lead update</w:t>
            </w:r>
          </w:p>
        </w:tc>
        <w:tc>
          <w:tcPr>
            <w:tcW w:type="dxa" w:w="2033"/>
            <w:vAlign w:val="center"/>
          </w:tcPr>
          <w:p>
            <w:pPr>
              <w:spacing w:after="0"/>
            </w:pPr>
            <w:r/>
            <w:r>
              <w:rPr>
                <w:b w:val="0"/>
                <w:sz w:val="17"/>
              </w:rPr>
              <w:t>Tenant A patches Tenant B lead</w:t>
            </w:r>
          </w:p>
        </w:tc>
        <w:tc>
          <w:tcPr>
            <w:tcW w:type="dxa" w:w="2033"/>
            <w:vAlign w:val="center"/>
          </w:tcPr>
          <w:p>
            <w:pPr>
              <w:spacing w:after="0"/>
            </w:pPr>
            <w:r/>
            <w:r>
              <w:rPr>
                <w:b w:val="0"/>
                <w:sz w:val="17"/>
              </w:rPr>
              <w:t>No update; no activity created; denial audited safely</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TC-TEN-003</w:t>
            </w:r>
          </w:p>
        </w:tc>
        <w:tc>
          <w:tcPr>
            <w:tcW w:type="dxa" w:w="2033"/>
            <w:vAlign w:val="center"/>
            <w:shd w:fill="F1F5FB"/>
          </w:tcPr>
          <w:p>
            <w:pPr>
              <w:spacing w:after="0"/>
            </w:pPr>
            <w:r/>
            <w:r>
              <w:rPr>
                <w:b w:val="0"/>
                <w:sz w:val="17"/>
              </w:rPr>
              <w:t>Forged tenant_id</w:t>
            </w:r>
          </w:p>
        </w:tc>
        <w:tc>
          <w:tcPr>
            <w:tcW w:type="dxa" w:w="2033"/>
            <w:vAlign w:val="center"/>
            <w:shd w:fill="F1F5FB"/>
          </w:tcPr>
          <w:p>
            <w:pPr>
              <w:spacing w:after="0"/>
            </w:pPr>
            <w:r/>
            <w:r>
              <w:rPr>
                <w:b w:val="0"/>
                <w:sz w:val="17"/>
              </w:rPr>
              <w:t>Client submits another tenant_id in body/query</w:t>
            </w:r>
          </w:p>
        </w:tc>
        <w:tc>
          <w:tcPr>
            <w:tcW w:type="dxa" w:w="2033"/>
            <w:vAlign w:val="center"/>
            <w:shd w:fill="F1F5FB"/>
          </w:tcPr>
          <w:p>
            <w:pPr>
              <w:spacing w:after="0"/>
            </w:pPr>
            <w:r/>
            <w:r>
              <w:rPr>
                <w:b w:val="0"/>
                <w:sz w:val="17"/>
              </w:rPr>
              <w:t>Backend ignores/rejects scope override; uses authenticated membership</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TC-RBAC-001</w:t>
            </w:r>
          </w:p>
        </w:tc>
        <w:tc>
          <w:tcPr>
            <w:tcW w:type="dxa" w:w="2033"/>
            <w:vAlign w:val="center"/>
          </w:tcPr>
          <w:p>
            <w:pPr>
              <w:spacing w:after="0"/>
            </w:pPr>
            <w:r/>
            <w:r>
              <w:rPr>
                <w:b w:val="0"/>
                <w:sz w:val="17"/>
              </w:rPr>
              <w:t>Salesperson reads own lead</w:t>
            </w:r>
          </w:p>
        </w:tc>
        <w:tc>
          <w:tcPr>
            <w:tcW w:type="dxa" w:w="2033"/>
            <w:vAlign w:val="center"/>
          </w:tcPr>
          <w:p>
            <w:pPr>
              <w:spacing w:after="0"/>
            </w:pPr>
            <w:r/>
            <w:r>
              <w:rPr>
                <w:b w:val="0"/>
                <w:sz w:val="17"/>
              </w:rPr>
              <w:t>Salesperson requests assigned lead</w:t>
            </w:r>
          </w:p>
        </w:tc>
        <w:tc>
          <w:tcPr>
            <w:tcW w:type="dxa" w:w="2033"/>
            <w:vAlign w:val="center"/>
          </w:tcPr>
          <w:p>
            <w:pPr>
              <w:spacing w:after="0"/>
            </w:pPr>
            <w:r/>
            <w:r>
              <w:rPr>
                <w:b w:val="0"/>
                <w:sz w:val="17"/>
              </w:rPr>
              <w:t>Allowed only if project membership and ownership policy pass</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TC-RBAC-002</w:t>
            </w:r>
          </w:p>
        </w:tc>
        <w:tc>
          <w:tcPr>
            <w:tcW w:type="dxa" w:w="2033"/>
            <w:vAlign w:val="center"/>
            <w:shd w:fill="F1F5FB"/>
          </w:tcPr>
          <w:p>
            <w:pPr>
              <w:spacing w:after="0"/>
            </w:pPr>
            <w:r/>
            <w:r>
              <w:rPr>
                <w:b w:val="0"/>
                <w:sz w:val="17"/>
              </w:rPr>
              <w:t>Salesperson reads another user's lead</w:t>
            </w:r>
          </w:p>
        </w:tc>
        <w:tc>
          <w:tcPr>
            <w:tcW w:type="dxa" w:w="2033"/>
            <w:vAlign w:val="center"/>
            <w:shd w:fill="F1F5FB"/>
          </w:tcPr>
          <w:p>
            <w:pPr>
              <w:spacing w:after="0"/>
            </w:pPr>
            <w:r/>
            <w:r>
              <w:rPr>
                <w:b w:val="0"/>
                <w:sz w:val="17"/>
              </w:rPr>
              <w:t>Salesperson guesses same-tenant unassigned/other-owner lead</w:t>
            </w:r>
          </w:p>
        </w:tc>
        <w:tc>
          <w:tcPr>
            <w:tcW w:type="dxa" w:w="2033"/>
            <w:vAlign w:val="center"/>
            <w:shd w:fill="F1F5FB"/>
          </w:tcPr>
          <w:p>
            <w:pPr>
              <w:spacing w:after="0"/>
            </w:pPr>
            <w:r/>
            <w:r>
              <w:rPr>
                <w:b w:val="0"/>
                <w:sz w:val="17"/>
              </w:rPr>
              <w:t>Denied unless explicit permission permits</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TC-RBAC-003</w:t>
            </w:r>
          </w:p>
        </w:tc>
        <w:tc>
          <w:tcPr>
            <w:tcW w:type="dxa" w:w="2033"/>
            <w:vAlign w:val="center"/>
          </w:tcPr>
          <w:p>
            <w:pPr>
              <w:spacing w:after="0"/>
            </w:pPr>
            <w:r/>
            <w:r>
              <w:rPr>
                <w:b w:val="0"/>
                <w:sz w:val="17"/>
              </w:rPr>
              <w:t>Marketing mutates lead</w:t>
            </w:r>
          </w:p>
        </w:tc>
        <w:tc>
          <w:tcPr>
            <w:tcW w:type="dxa" w:w="2033"/>
            <w:vAlign w:val="center"/>
          </w:tcPr>
          <w:p>
            <w:pPr>
              <w:spacing w:after="0"/>
            </w:pPr>
            <w:r/>
            <w:r>
              <w:rPr>
                <w:b w:val="0"/>
                <w:sz w:val="17"/>
              </w:rPr>
              <w:t>Marketing sends PATCH /leads/{id}</w:t>
            </w:r>
          </w:p>
        </w:tc>
        <w:tc>
          <w:tcPr>
            <w:tcW w:type="dxa" w:w="2033"/>
            <w:vAlign w:val="center"/>
          </w:tcPr>
          <w:p>
            <w:pPr>
              <w:spacing w:after="0"/>
            </w:pPr>
            <w:r/>
            <w:r>
              <w:rPr>
                <w:b w:val="0"/>
                <w:sz w:val="17"/>
              </w:rPr>
              <w:t>403; record unchanged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TC-RBAC-004</w:t>
            </w:r>
          </w:p>
        </w:tc>
        <w:tc>
          <w:tcPr>
            <w:tcW w:type="dxa" w:w="2033"/>
            <w:vAlign w:val="center"/>
            <w:shd w:fill="F1F5FB"/>
          </w:tcPr>
          <w:p>
            <w:pPr>
              <w:spacing w:after="0"/>
            </w:pPr>
            <w:r/>
            <w:r>
              <w:rPr>
                <w:b w:val="0"/>
                <w:sz w:val="17"/>
              </w:rPr>
              <w:t>Owner assigns lead</w:t>
            </w:r>
          </w:p>
        </w:tc>
        <w:tc>
          <w:tcPr>
            <w:tcW w:type="dxa" w:w="2033"/>
            <w:vAlign w:val="center"/>
            <w:shd w:fill="F1F5FB"/>
          </w:tcPr>
          <w:p>
            <w:pPr>
              <w:spacing w:after="0"/>
            </w:pPr>
            <w:r/>
            <w:r>
              <w:rPr>
                <w:b w:val="0"/>
                <w:sz w:val="17"/>
              </w:rPr>
              <w:t>Owner assigns lead to active member of same project</w:t>
            </w:r>
          </w:p>
        </w:tc>
        <w:tc>
          <w:tcPr>
            <w:tcW w:type="dxa" w:w="2033"/>
            <w:vAlign w:val="center"/>
            <w:shd w:fill="F1F5FB"/>
          </w:tcPr>
          <w:p>
            <w:pPr>
              <w:spacing w:after="0"/>
            </w:pPr>
            <w:r/>
            <w:r>
              <w:rPr>
                <w:b w:val="0"/>
                <w:sz w:val="17"/>
              </w:rPr>
              <w:t>Assignment succeeds; activity/audit event created</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TC-RBAC-005</w:t>
            </w:r>
          </w:p>
        </w:tc>
        <w:tc>
          <w:tcPr>
            <w:tcW w:type="dxa" w:w="2033"/>
            <w:vAlign w:val="center"/>
          </w:tcPr>
          <w:p>
            <w:pPr>
              <w:spacing w:after="0"/>
            </w:pPr>
            <w:r/>
            <w:r>
              <w:rPr>
                <w:b w:val="0"/>
                <w:sz w:val="17"/>
              </w:rPr>
              <w:t>Assign to foreign user</w:t>
            </w:r>
          </w:p>
        </w:tc>
        <w:tc>
          <w:tcPr>
            <w:tcW w:type="dxa" w:w="2033"/>
            <w:vAlign w:val="center"/>
          </w:tcPr>
          <w:p>
            <w:pPr>
              <w:spacing w:after="0"/>
            </w:pPr>
            <w:r/>
            <w:r>
              <w:rPr>
                <w:b w:val="0"/>
                <w:sz w:val="17"/>
              </w:rPr>
              <w:t>Owner selects user from another tenant/project</w:t>
            </w:r>
          </w:p>
        </w:tc>
        <w:tc>
          <w:tcPr>
            <w:tcW w:type="dxa" w:w="2033"/>
            <w:vAlign w:val="center"/>
          </w:tcPr>
          <w:p>
            <w:pPr>
              <w:spacing w:after="0"/>
            </w:pPr>
            <w:r/>
            <w:r>
              <w:rPr>
                <w:b w:val="0"/>
                <w:sz w:val="17"/>
              </w:rPr>
              <w:t>Validation/authorization fails; assignment unchanged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TC-LEAD-001</w:t>
            </w:r>
          </w:p>
        </w:tc>
        <w:tc>
          <w:tcPr>
            <w:tcW w:type="dxa" w:w="2033"/>
            <w:vAlign w:val="center"/>
            <w:shd w:fill="F1F5FB"/>
          </w:tcPr>
          <w:p>
            <w:pPr>
              <w:spacing w:after="0"/>
            </w:pPr>
            <w:r/>
            <w:r>
              <w:rPr>
                <w:b w:val="0"/>
                <w:sz w:val="17"/>
              </w:rPr>
              <w:t>Create valid lead</w:t>
            </w:r>
          </w:p>
        </w:tc>
        <w:tc>
          <w:tcPr>
            <w:tcW w:type="dxa" w:w="2033"/>
            <w:vAlign w:val="center"/>
            <w:shd w:fill="F1F5FB"/>
          </w:tcPr>
          <w:p>
            <w:pPr>
              <w:spacing w:after="0"/>
            </w:pPr>
            <w:r/>
            <w:r>
              <w:rPr>
                <w:b w:val="0"/>
                <w:sz w:val="17"/>
              </w:rPr>
              <w:t>Required fields supplied in authorized project</w:t>
            </w:r>
          </w:p>
        </w:tc>
        <w:tc>
          <w:tcPr>
            <w:tcW w:type="dxa" w:w="2033"/>
            <w:vAlign w:val="center"/>
            <w:shd w:fill="F1F5FB"/>
          </w:tcPr>
          <w:p>
            <w:pPr>
              <w:spacing w:after="0"/>
            </w:pPr>
            <w:r/>
            <w:r>
              <w:rPr>
                <w:b w:val="0"/>
                <w:sz w:val="17"/>
              </w:rPr>
              <w:t>201; row persisted; stable ID; creation activity recorded</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TC-LEAD-002</w:t>
            </w:r>
          </w:p>
        </w:tc>
        <w:tc>
          <w:tcPr>
            <w:tcW w:type="dxa" w:w="2033"/>
            <w:vAlign w:val="center"/>
          </w:tcPr>
          <w:p>
            <w:pPr>
              <w:spacing w:after="0"/>
            </w:pPr>
            <w:r/>
            <w:r>
              <w:rPr>
                <w:b w:val="0"/>
                <w:sz w:val="17"/>
              </w:rPr>
              <w:t>Required field validation</w:t>
            </w:r>
          </w:p>
        </w:tc>
        <w:tc>
          <w:tcPr>
            <w:tcW w:type="dxa" w:w="2033"/>
            <w:vAlign w:val="center"/>
          </w:tcPr>
          <w:p>
            <w:pPr>
              <w:spacing w:after="0"/>
            </w:pPr>
            <w:r/>
            <w:r>
              <w:rPr>
                <w:b w:val="0"/>
                <w:sz w:val="17"/>
              </w:rPr>
              <w:t>Blank contact name or requirement</w:t>
            </w:r>
          </w:p>
        </w:tc>
        <w:tc>
          <w:tcPr>
            <w:tcW w:type="dxa" w:w="2033"/>
            <w:vAlign w:val="center"/>
          </w:tcPr>
          <w:p>
            <w:pPr>
              <w:spacing w:after="0"/>
            </w:pPr>
            <w:r/>
            <w:r>
              <w:rPr>
                <w:b w:val="0"/>
                <w:sz w:val="17"/>
              </w:rPr>
              <w:t>422 with field errors; no row created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TC-LEAD-003</w:t>
            </w:r>
          </w:p>
        </w:tc>
        <w:tc>
          <w:tcPr>
            <w:tcW w:type="dxa" w:w="2033"/>
            <w:vAlign w:val="center"/>
            <w:shd w:fill="F1F5FB"/>
          </w:tcPr>
          <w:p>
            <w:pPr>
              <w:spacing w:after="0"/>
            </w:pPr>
            <w:r/>
            <w:r>
              <w:rPr>
                <w:b w:val="0"/>
                <w:sz w:val="17"/>
              </w:rPr>
              <w:t>Mobile validation</w:t>
            </w:r>
          </w:p>
        </w:tc>
        <w:tc>
          <w:tcPr>
            <w:tcW w:type="dxa" w:w="2033"/>
            <w:vAlign w:val="center"/>
            <w:shd w:fill="F1F5FB"/>
          </w:tcPr>
          <w:p>
            <w:pPr>
              <w:spacing w:after="0"/>
            </w:pPr>
            <w:r/>
            <w:r>
              <w:rPr>
                <w:b w:val="0"/>
                <w:sz w:val="17"/>
              </w:rPr>
              <w:t>Invalid mobile format per approved policy</w:t>
            </w:r>
          </w:p>
        </w:tc>
        <w:tc>
          <w:tcPr>
            <w:tcW w:type="dxa" w:w="2033"/>
            <w:vAlign w:val="center"/>
            <w:shd w:fill="F1F5FB"/>
          </w:tcPr>
          <w:p>
            <w:pPr>
              <w:spacing w:after="0"/>
            </w:pPr>
            <w:r/>
            <w:r>
              <w:rPr>
                <w:b w:val="0"/>
                <w:sz w:val="17"/>
              </w:rPr>
              <w:t>Rejected with field-level error</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TC-LEAD-004</w:t>
            </w:r>
          </w:p>
        </w:tc>
        <w:tc>
          <w:tcPr>
            <w:tcW w:type="dxa" w:w="2033"/>
            <w:vAlign w:val="center"/>
          </w:tcPr>
          <w:p>
            <w:pPr>
              <w:spacing w:after="0"/>
            </w:pPr>
            <w:r/>
            <w:r>
              <w:rPr>
                <w:b w:val="0"/>
                <w:sz w:val="17"/>
              </w:rPr>
              <w:t>Search and pagination</w:t>
            </w:r>
          </w:p>
        </w:tc>
        <w:tc>
          <w:tcPr>
            <w:tcW w:type="dxa" w:w="2033"/>
            <w:vAlign w:val="center"/>
          </w:tcPr>
          <w:p>
            <w:pPr>
              <w:spacing w:after="0"/>
            </w:pPr>
            <w:r/>
            <w:r>
              <w:rPr>
                <w:b w:val="0"/>
                <w:sz w:val="17"/>
              </w:rPr>
              <w:t>Search by name/phone/ID across pages</w:t>
            </w:r>
          </w:p>
        </w:tc>
        <w:tc>
          <w:tcPr>
            <w:tcW w:type="dxa" w:w="2033"/>
            <w:vAlign w:val="center"/>
          </w:tcPr>
          <w:p>
            <w:pPr>
              <w:spacing w:after="0"/>
            </w:pPr>
            <w:r/>
            <w:r>
              <w:rPr>
                <w:b w:val="0"/>
                <w:sz w:val="17"/>
              </w:rPr>
              <w:t>Results match filters; page order stable; only authorized rows returned</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TC-LEAD-005</w:t>
            </w:r>
          </w:p>
        </w:tc>
        <w:tc>
          <w:tcPr>
            <w:tcW w:type="dxa" w:w="2033"/>
            <w:vAlign w:val="center"/>
            <w:shd w:fill="F1F5FB"/>
          </w:tcPr>
          <w:p>
            <w:pPr>
              <w:spacing w:after="0"/>
            </w:pPr>
            <w:r/>
            <w:r>
              <w:rPr>
                <w:b w:val="0"/>
                <w:sz w:val="17"/>
              </w:rPr>
              <w:t>Project custom field validation</w:t>
            </w:r>
          </w:p>
        </w:tc>
        <w:tc>
          <w:tcPr>
            <w:tcW w:type="dxa" w:w="2033"/>
            <w:vAlign w:val="center"/>
            <w:shd w:fill="F1F5FB"/>
          </w:tcPr>
          <w:p>
            <w:pPr>
              <w:spacing w:after="0"/>
            </w:pPr>
            <w:r/>
            <w:r>
              <w:rPr>
                <w:b w:val="0"/>
                <w:sz w:val="17"/>
              </w:rPr>
              <w:t>Missing required Site field for Space View</w:t>
            </w:r>
          </w:p>
        </w:tc>
        <w:tc>
          <w:tcPr>
            <w:tcW w:type="dxa" w:w="2033"/>
            <w:vAlign w:val="center"/>
            <w:shd w:fill="F1F5FB"/>
          </w:tcPr>
          <w:p>
            <w:pPr>
              <w:spacing w:after="0"/>
            </w:pPr>
            <w:r/>
            <w:r>
              <w:rPr>
                <w:b w:val="0"/>
                <w:sz w:val="17"/>
              </w:rPr>
              <w:t>Rejected; no partial record</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TC-PIPE-001</w:t>
            </w:r>
          </w:p>
        </w:tc>
        <w:tc>
          <w:tcPr>
            <w:tcW w:type="dxa" w:w="2033"/>
            <w:vAlign w:val="center"/>
          </w:tcPr>
          <w:p>
            <w:pPr>
              <w:spacing w:after="0"/>
            </w:pPr>
            <w:r/>
            <w:r>
              <w:rPr>
                <w:b w:val="0"/>
                <w:sz w:val="17"/>
              </w:rPr>
              <w:t>Move lead to Contacted</w:t>
            </w:r>
          </w:p>
        </w:tc>
        <w:tc>
          <w:tcPr>
            <w:tcW w:type="dxa" w:w="2033"/>
            <w:vAlign w:val="center"/>
          </w:tcPr>
          <w:p>
            <w:pPr>
              <w:spacing w:after="0"/>
            </w:pPr>
            <w:r/>
            <w:r>
              <w:rPr>
                <w:b w:val="0"/>
                <w:sz w:val="17"/>
              </w:rPr>
              <w:t>Authorized user transitions New → Contacted</w:t>
            </w:r>
          </w:p>
        </w:tc>
        <w:tc>
          <w:tcPr>
            <w:tcW w:type="dxa" w:w="2033"/>
            <w:vAlign w:val="center"/>
          </w:tcPr>
          <w:p>
            <w:pPr>
              <w:spacing w:after="0"/>
            </w:pPr>
            <w:r/>
            <w:r>
              <w:rPr>
                <w:b w:val="0"/>
                <w:sz w:val="17"/>
              </w:rPr>
              <w:t>Status persists and activity records previous/new state</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TC-PIPE-002</w:t>
            </w:r>
          </w:p>
        </w:tc>
        <w:tc>
          <w:tcPr>
            <w:tcW w:type="dxa" w:w="2033"/>
            <w:vAlign w:val="center"/>
            <w:shd w:fill="F1F5FB"/>
          </w:tcPr>
          <w:p>
            <w:pPr>
              <w:spacing w:after="0"/>
            </w:pPr>
            <w:r/>
            <w:r>
              <w:rPr>
                <w:b w:val="0"/>
                <w:sz w:val="17"/>
              </w:rPr>
              <w:t>Mark Lost without reason</w:t>
            </w:r>
          </w:p>
        </w:tc>
        <w:tc>
          <w:tcPr>
            <w:tcW w:type="dxa" w:w="2033"/>
            <w:vAlign w:val="center"/>
            <w:shd w:fill="F1F5FB"/>
          </w:tcPr>
          <w:p>
            <w:pPr>
              <w:spacing w:after="0"/>
            </w:pPr>
            <w:r/>
            <w:r>
              <w:rPr>
                <w:b w:val="0"/>
                <w:sz w:val="17"/>
              </w:rPr>
              <w:t>Transition to Lost without reason</w:t>
            </w:r>
          </w:p>
        </w:tc>
        <w:tc>
          <w:tcPr>
            <w:tcW w:type="dxa" w:w="2033"/>
            <w:vAlign w:val="center"/>
            <w:shd w:fill="F1F5FB"/>
          </w:tcPr>
          <w:p>
            <w:pPr>
              <w:spacing w:after="0"/>
            </w:pPr>
            <w:r/>
            <w:r>
              <w:rPr>
                <w:b w:val="0"/>
                <w:sz w:val="17"/>
              </w:rPr>
              <w:t>Rejected; status remains unchanged</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TC-PIPE-003</w:t>
            </w:r>
          </w:p>
        </w:tc>
        <w:tc>
          <w:tcPr>
            <w:tcW w:type="dxa" w:w="2033"/>
            <w:vAlign w:val="center"/>
          </w:tcPr>
          <w:p>
            <w:pPr>
              <w:spacing w:after="0"/>
            </w:pPr>
            <w:r/>
            <w:r>
              <w:rPr>
                <w:b w:val="0"/>
                <w:sz w:val="17"/>
              </w:rPr>
              <w:t>Mark Won paneer without order amount</w:t>
            </w:r>
          </w:p>
        </w:tc>
        <w:tc>
          <w:tcPr>
            <w:tcW w:type="dxa" w:w="2033"/>
            <w:vAlign w:val="center"/>
          </w:tcPr>
          <w:p>
            <w:pPr>
              <w:spacing w:after="0"/>
            </w:pPr>
            <w:r/>
            <w:r>
              <w:rPr>
                <w:b w:val="0"/>
                <w:sz w:val="17"/>
              </w:rPr>
              <w:t>Paneerwala lead marked Won with no positive order amount</w:t>
            </w:r>
          </w:p>
        </w:tc>
        <w:tc>
          <w:tcPr>
            <w:tcW w:type="dxa" w:w="2033"/>
            <w:vAlign w:val="center"/>
          </w:tcPr>
          <w:p>
            <w:pPr>
              <w:spacing w:after="0"/>
            </w:pPr>
            <w:r/>
            <w:r>
              <w:rPr>
                <w:b w:val="0"/>
                <w:sz w:val="17"/>
              </w:rPr>
              <w:t>Prompt/validation requires positive amount; no status update until valid</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TC-PIPE-004</w:t>
            </w:r>
          </w:p>
        </w:tc>
        <w:tc>
          <w:tcPr>
            <w:tcW w:type="dxa" w:w="2033"/>
            <w:vAlign w:val="center"/>
            <w:shd w:fill="F1F5FB"/>
          </w:tcPr>
          <w:p>
            <w:pPr>
              <w:spacing w:after="0"/>
            </w:pPr>
            <w:r/>
            <w:r>
              <w:rPr>
                <w:b w:val="0"/>
                <w:sz w:val="17"/>
              </w:rPr>
              <w:t>Mark Won hiring lead</w:t>
            </w:r>
          </w:p>
        </w:tc>
        <w:tc>
          <w:tcPr>
            <w:tcW w:type="dxa" w:w="2033"/>
            <w:vAlign w:val="center"/>
            <w:shd w:fill="F1F5FB"/>
          </w:tcPr>
          <w:p>
            <w:pPr>
              <w:spacing w:after="0"/>
            </w:pPr>
            <w:r/>
            <w:r>
              <w:rPr>
                <w:b w:val="0"/>
                <w:sz w:val="17"/>
              </w:rPr>
              <w:t>Hiring lead marked Won</w:t>
            </w:r>
          </w:p>
        </w:tc>
        <w:tc>
          <w:tcPr>
            <w:tcW w:type="dxa" w:w="2033"/>
            <w:vAlign w:val="center"/>
            <w:shd w:fill="F1F5FB"/>
          </w:tcPr>
          <w:p>
            <w:pPr>
              <w:spacing w:after="0"/>
            </w:pPr>
            <w:r/>
            <w:r>
              <w:rPr>
                <w:b w:val="0"/>
                <w:sz w:val="17"/>
              </w:rPr>
              <w:t>Recruitment stage/outcome set according to approved rule; event recorded</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TC-PIPE-005</w:t>
            </w:r>
          </w:p>
        </w:tc>
        <w:tc>
          <w:tcPr>
            <w:tcW w:type="dxa" w:w="2033"/>
            <w:vAlign w:val="center"/>
          </w:tcPr>
          <w:p>
            <w:pPr>
              <w:spacing w:after="0"/>
            </w:pPr>
            <w:r/>
            <w:r>
              <w:rPr>
                <w:b w:val="0"/>
                <w:sz w:val="17"/>
              </w:rPr>
              <w:t>Reopen closed lead</w:t>
            </w:r>
          </w:p>
        </w:tc>
        <w:tc>
          <w:tcPr>
            <w:tcW w:type="dxa" w:w="2033"/>
            <w:vAlign w:val="center"/>
          </w:tcPr>
          <w:p>
            <w:pPr>
              <w:spacing w:after="0"/>
            </w:pPr>
            <w:r/>
            <w:r>
              <w:rPr>
                <w:b w:val="0"/>
                <w:sz w:val="17"/>
              </w:rPr>
              <w:t>Reopen Won/Lost lead</w:t>
            </w:r>
          </w:p>
        </w:tc>
        <w:tc>
          <w:tcPr>
            <w:tcW w:type="dxa" w:w="2033"/>
            <w:vAlign w:val="center"/>
          </w:tcPr>
          <w:p>
            <w:pPr>
              <w:spacing w:after="0"/>
            </w:pPr>
            <w:r/>
            <w:r>
              <w:rPr>
                <w:b w:val="0"/>
                <w:sz w:val="17"/>
              </w:rPr>
              <w:t>Explicit transition only; closure fields and new follow-up handled per rule</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TC-FU-001</w:t>
            </w:r>
          </w:p>
        </w:tc>
        <w:tc>
          <w:tcPr>
            <w:tcW w:type="dxa" w:w="2033"/>
            <w:vAlign w:val="center"/>
            <w:shd w:fill="F1F5FB"/>
          </w:tcPr>
          <w:p>
            <w:pPr>
              <w:spacing w:after="0"/>
            </w:pPr>
            <w:r/>
            <w:r>
              <w:rPr>
                <w:b w:val="0"/>
                <w:sz w:val="17"/>
              </w:rPr>
              <w:t>Create follow-up</w:t>
            </w:r>
          </w:p>
        </w:tc>
        <w:tc>
          <w:tcPr>
            <w:tcW w:type="dxa" w:w="2033"/>
            <w:vAlign w:val="center"/>
            <w:shd w:fill="F1F5FB"/>
          </w:tcPr>
          <w:p>
            <w:pPr>
              <w:spacing w:after="0"/>
            </w:pPr>
            <w:r/>
            <w:r>
              <w:rPr>
                <w:b w:val="0"/>
                <w:sz w:val="17"/>
              </w:rPr>
              <w:t>Authorized user schedules future due date</w:t>
            </w:r>
          </w:p>
        </w:tc>
        <w:tc>
          <w:tcPr>
            <w:tcW w:type="dxa" w:w="2033"/>
            <w:vAlign w:val="center"/>
            <w:shd w:fill="F1F5FB"/>
          </w:tcPr>
          <w:p>
            <w:pPr>
              <w:spacing w:after="0"/>
            </w:pPr>
            <w:r/>
            <w:r>
              <w:rPr>
                <w:b w:val="0"/>
                <w:sz w:val="17"/>
              </w:rPr>
              <w:t>Follow-up persists in correct tenant timezone semantics</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TC-FU-002</w:t>
            </w:r>
          </w:p>
        </w:tc>
        <w:tc>
          <w:tcPr>
            <w:tcW w:type="dxa" w:w="2033"/>
            <w:vAlign w:val="center"/>
          </w:tcPr>
          <w:p>
            <w:pPr>
              <w:spacing w:after="0"/>
            </w:pPr>
            <w:r/>
            <w:r>
              <w:rPr>
                <w:b w:val="0"/>
                <w:sz w:val="17"/>
              </w:rPr>
              <w:t>Overdue/today grouping</w:t>
            </w:r>
          </w:p>
        </w:tc>
        <w:tc>
          <w:tcPr>
            <w:tcW w:type="dxa" w:w="2033"/>
            <w:vAlign w:val="center"/>
          </w:tcPr>
          <w:p>
            <w:pPr>
              <w:spacing w:after="0"/>
            </w:pPr>
            <w:r/>
            <w:r>
              <w:rPr>
                <w:b w:val="0"/>
                <w:sz w:val="17"/>
              </w:rPr>
              <w:t>Set due_at in past/today/future</w:t>
            </w:r>
          </w:p>
        </w:tc>
        <w:tc>
          <w:tcPr>
            <w:tcW w:type="dxa" w:w="2033"/>
            <w:vAlign w:val="center"/>
          </w:tcPr>
          <w:p>
            <w:pPr>
              <w:spacing w:after="0"/>
            </w:pPr>
            <w:r/>
            <w:r>
              <w:rPr>
                <w:b w:val="0"/>
                <w:sz w:val="17"/>
              </w:rPr>
              <w:t>Displayed in correct group for tenant timezone and boundary rules</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TC-FU-003</w:t>
            </w:r>
          </w:p>
        </w:tc>
        <w:tc>
          <w:tcPr>
            <w:tcW w:type="dxa" w:w="2033"/>
            <w:vAlign w:val="center"/>
            <w:shd w:fill="F1F5FB"/>
          </w:tcPr>
          <w:p>
            <w:pPr>
              <w:spacing w:after="0"/>
            </w:pPr>
            <w:r/>
            <w:r>
              <w:rPr>
                <w:b w:val="0"/>
                <w:sz w:val="17"/>
              </w:rPr>
              <w:t>Snooze to tomorrow</w:t>
            </w:r>
          </w:p>
        </w:tc>
        <w:tc>
          <w:tcPr>
            <w:tcW w:type="dxa" w:w="2033"/>
            <w:vAlign w:val="center"/>
            <w:shd w:fill="F1F5FB"/>
          </w:tcPr>
          <w:p>
            <w:pPr>
              <w:spacing w:after="0"/>
            </w:pPr>
            <w:r/>
            <w:r>
              <w:rPr>
                <w:b w:val="0"/>
                <w:sz w:val="17"/>
              </w:rPr>
              <w:t>User snoozes open follow-up</w:t>
            </w:r>
          </w:p>
        </w:tc>
        <w:tc>
          <w:tcPr>
            <w:tcW w:type="dxa" w:w="2033"/>
            <w:vAlign w:val="center"/>
            <w:shd w:fill="F1F5FB"/>
          </w:tcPr>
          <w:p>
            <w:pPr>
              <w:spacing w:after="0"/>
            </w:pPr>
            <w:r/>
            <w:r>
              <w:rPr>
                <w:b w:val="0"/>
                <w:sz w:val="17"/>
              </w:rPr>
              <w:t>Due date advances per timezone rule; history logged</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TC-FU-004</w:t>
            </w:r>
          </w:p>
        </w:tc>
        <w:tc>
          <w:tcPr>
            <w:tcW w:type="dxa" w:w="2033"/>
            <w:vAlign w:val="center"/>
          </w:tcPr>
          <w:p>
            <w:pPr>
              <w:spacing w:after="0"/>
            </w:pPr>
            <w:r/>
            <w:r>
              <w:rPr>
                <w:b w:val="0"/>
                <w:sz w:val="17"/>
              </w:rPr>
              <w:t>Reschedule invalid date</w:t>
            </w:r>
          </w:p>
        </w:tc>
        <w:tc>
          <w:tcPr>
            <w:tcW w:type="dxa" w:w="2033"/>
            <w:vAlign w:val="center"/>
          </w:tcPr>
          <w:p>
            <w:pPr>
              <w:spacing w:after="0"/>
            </w:pPr>
            <w:r/>
            <w:r>
              <w:rPr>
                <w:b w:val="0"/>
                <w:sz w:val="17"/>
              </w:rPr>
              <w:t>Past/invalid date where prohibited</w:t>
            </w:r>
          </w:p>
        </w:tc>
        <w:tc>
          <w:tcPr>
            <w:tcW w:type="dxa" w:w="2033"/>
            <w:vAlign w:val="center"/>
          </w:tcPr>
          <w:p>
            <w:pPr>
              <w:spacing w:after="0"/>
            </w:pPr>
            <w:r/>
            <w:r>
              <w:rPr>
                <w:b w:val="0"/>
                <w:sz w:val="17"/>
              </w:rPr>
              <w:t>Validation shown; original due date remains unchanged</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TC-FU-005</w:t>
            </w:r>
          </w:p>
        </w:tc>
        <w:tc>
          <w:tcPr>
            <w:tcW w:type="dxa" w:w="2033"/>
            <w:vAlign w:val="center"/>
            <w:shd w:fill="F1F5FB"/>
          </w:tcPr>
          <w:p>
            <w:pPr>
              <w:spacing w:after="0"/>
            </w:pPr>
            <w:r/>
            <w:r>
              <w:rPr>
                <w:b w:val="0"/>
                <w:sz w:val="17"/>
              </w:rPr>
              <w:t>Complete call</w:t>
            </w:r>
          </w:p>
        </w:tc>
        <w:tc>
          <w:tcPr>
            <w:tcW w:type="dxa" w:w="2033"/>
            <w:vAlign w:val="center"/>
            <w:shd w:fill="F1F5FB"/>
          </w:tcPr>
          <w:p>
            <w:pPr>
              <w:spacing w:after="0"/>
            </w:pPr>
            <w:r/>
            <w:r>
              <w:rPr>
                <w:b w:val="0"/>
                <w:sz w:val="17"/>
              </w:rPr>
              <w:t>Record call outcome and summary</w:t>
            </w:r>
          </w:p>
        </w:tc>
        <w:tc>
          <w:tcPr>
            <w:tcW w:type="dxa" w:w="2033"/>
            <w:vAlign w:val="center"/>
            <w:shd w:fill="F1F5FB"/>
          </w:tcPr>
          <w:p>
            <w:pPr>
              <w:spacing w:after="0"/>
            </w:pPr>
            <w:r/>
            <w:r>
              <w:rPr>
                <w:b w:val="0"/>
                <w:sz w:val="17"/>
              </w:rPr>
              <w:t>Follow-up state, call summary and activity update atomically</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TC-IMP-001</w:t>
            </w:r>
          </w:p>
        </w:tc>
        <w:tc>
          <w:tcPr>
            <w:tcW w:type="dxa" w:w="2033"/>
            <w:vAlign w:val="center"/>
          </w:tcPr>
          <w:p>
            <w:pPr>
              <w:spacing w:after="0"/>
            </w:pPr>
            <w:r/>
            <w:r>
              <w:rPr>
                <w:b w:val="0"/>
                <w:sz w:val="17"/>
              </w:rPr>
              <w:t>Valid import preview</w:t>
            </w:r>
          </w:p>
        </w:tc>
        <w:tc>
          <w:tcPr>
            <w:tcW w:type="dxa" w:w="2033"/>
            <w:vAlign w:val="center"/>
          </w:tcPr>
          <w:p>
            <w:pPr>
              <w:spacing w:after="0"/>
            </w:pPr>
            <w:r/>
            <w:r>
              <w:rPr>
                <w:b w:val="0"/>
                <w:sz w:val="17"/>
              </w:rPr>
              <w:t>Supported CSV/XLSX with valid rows</w:t>
            </w:r>
          </w:p>
        </w:tc>
        <w:tc>
          <w:tcPr>
            <w:tcW w:type="dxa" w:w="2033"/>
            <w:vAlign w:val="center"/>
          </w:tcPr>
          <w:p>
            <w:pPr>
              <w:spacing w:after="0"/>
            </w:pPr>
            <w:r/>
            <w:r>
              <w:rPr>
                <w:b w:val="0"/>
                <w:sz w:val="17"/>
              </w:rPr>
              <w:t>Preview count/values accurate; no DB mutation before confirmation</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TC-IMP-002</w:t>
            </w:r>
          </w:p>
        </w:tc>
        <w:tc>
          <w:tcPr>
            <w:tcW w:type="dxa" w:w="2033"/>
            <w:vAlign w:val="center"/>
            <w:shd w:fill="F1F5FB"/>
          </w:tcPr>
          <w:p>
            <w:pPr>
              <w:spacing w:after="0"/>
            </w:pPr>
            <w:r/>
            <w:r>
              <w:rPr>
                <w:b w:val="0"/>
                <w:sz w:val="17"/>
              </w:rPr>
              <w:t>Malformed import</w:t>
            </w:r>
          </w:p>
        </w:tc>
        <w:tc>
          <w:tcPr>
            <w:tcW w:type="dxa" w:w="2033"/>
            <w:vAlign w:val="center"/>
            <w:shd w:fill="F1F5FB"/>
          </w:tcPr>
          <w:p>
            <w:pPr>
              <w:spacing w:after="0"/>
            </w:pPr>
            <w:r/>
            <w:r>
              <w:rPr>
                <w:b w:val="0"/>
                <w:sz w:val="17"/>
              </w:rPr>
              <w:t>Invalid file, oversized file, invalid columns or rows</w:t>
            </w:r>
          </w:p>
        </w:tc>
        <w:tc>
          <w:tcPr>
            <w:tcW w:type="dxa" w:w="2033"/>
            <w:vAlign w:val="center"/>
            <w:shd w:fill="F1F5FB"/>
          </w:tcPr>
          <w:p>
            <w:pPr>
              <w:spacing w:after="0"/>
            </w:pPr>
            <w:r/>
            <w:r>
              <w:rPr>
                <w:b w:val="0"/>
                <w:sz w:val="17"/>
              </w:rPr>
              <w:t>Safe rejection or row-level errors; no unbounded resource use</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TC-IMP-003</w:t>
            </w:r>
          </w:p>
        </w:tc>
        <w:tc>
          <w:tcPr>
            <w:tcW w:type="dxa" w:w="2033"/>
            <w:vAlign w:val="center"/>
          </w:tcPr>
          <w:p>
            <w:pPr>
              <w:spacing w:after="0"/>
            </w:pPr>
            <w:r/>
            <w:r>
              <w:rPr>
                <w:b w:val="0"/>
                <w:sz w:val="17"/>
              </w:rPr>
              <w:t>Duplicate import</w:t>
            </w:r>
          </w:p>
        </w:tc>
        <w:tc>
          <w:tcPr>
            <w:tcW w:type="dxa" w:w="2033"/>
            <w:vAlign w:val="center"/>
          </w:tcPr>
          <w:p>
            <w:pPr>
              <w:spacing w:after="0"/>
            </w:pPr>
            <w:r/>
            <w:r>
              <w:rPr>
                <w:b w:val="0"/>
                <w:sz w:val="17"/>
              </w:rPr>
              <w:t>File contains duplicate lead according to agreed policy</w:t>
            </w:r>
          </w:p>
        </w:tc>
        <w:tc>
          <w:tcPr>
            <w:tcW w:type="dxa" w:w="2033"/>
            <w:vAlign w:val="center"/>
          </w:tcPr>
          <w:p>
            <w:pPr>
              <w:spacing w:after="0"/>
            </w:pPr>
            <w:r/>
            <w:r>
              <w:rPr>
                <w:b w:val="0"/>
                <w:sz w:val="17"/>
              </w:rPr>
              <w:t>Warn/block/skip per policy; deterministic counts</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TC-IMP-004</w:t>
            </w:r>
          </w:p>
        </w:tc>
        <w:tc>
          <w:tcPr>
            <w:tcW w:type="dxa" w:w="2033"/>
            <w:vAlign w:val="center"/>
            <w:shd w:fill="F1F5FB"/>
          </w:tcPr>
          <w:p>
            <w:pPr>
              <w:spacing w:after="0"/>
            </w:pPr>
            <w:r/>
            <w:r>
              <w:rPr>
                <w:b w:val="0"/>
                <w:sz w:val="17"/>
              </w:rPr>
              <w:t>Partial failure / retry</w:t>
            </w:r>
          </w:p>
        </w:tc>
        <w:tc>
          <w:tcPr>
            <w:tcW w:type="dxa" w:w="2033"/>
            <w:vAlign w:val="center"/>
            <w:shd w:fill="F1F5FB"/>
          </w:tcPr>
          <w:p>
            <w:pPr>
              <w:spacing w:after="0"/>
            </w:pPr>
            <w:r/>
            <w:r>
              <w:rPr>
                <w:b w:val="0"/>
                <w:sz w:val="17"/>
              </w:rPr>
              <w:t>Retry same commit after network timeout</w:t>
            </w:r>
          </w:p>
        </w:tc>
        <w:tc>
          <w:tcPr>
            <w:tcW w:type="dxa" w:w="2033"/>
            <w:vAlign w:val="center"/>
            <w:shd w:fill="F1F5FB"/>
          </w:tcPr>
          <w:p>
            <w:pPr>
              <w:spacing w:after="0"/>
            </w:pPr>
            <w:r/>
            <w:r>
              <w:rPr>
                <w:b w:val="0"/>
                <w:sz w:val="17"/>
              </w:rPr>
              <w:t>Idempotency prevents duplicate insertion or clearly reports existing job</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TC-EXP-001</w:t>
            </w:r>
          </w:p>
        </w:tc>
        <w:tc>
          <w:tcPr>
            <w:tcW w:type="dxa" w:w="2033"/>
            <w:vAlign w:val="center"/>
          </w:tcPr>
          <w:p>
            <w:pPr>
              <w:spacing w:after="0"/>
            </w:pPr>
            <w:r/>
            <w:r>
              <w:rPr>
                <w:b w:val="0"/>
                <w:sz w:val="17"/>
              </w:rPr>
              <w:t>Authorized export</w:t>
            </w:r>
          </w:p>
        </w:tc>
        <w:tc>
          <w:tcPr>
            <w:tcW w:type="dxa" w:w="2033"/>
            <w:vAlign w:val="center"/>
          </w:tcPr>
          <w:p>
            <w:pPr>
              <w:spacing w:after="0"/>
            </w:pPr>
            <w:r/>
            <w:r>
              <w:rPr>
                <w:b w:val="0"/>
                <w:sz w:val="17"/>
              </w:rPr>
              <w:t>Owner exports filtered leads</w:t>
            </w:r>
          </w:p>
        </w:tc>
        <w:tc>
          <w:tcPr>
            <w:tcW w:type="dxa" w:w="2033"/>
            <w:vAlign w:val="center"/>
          </w:tcPr>
          <w:p>
            <w:pPr>
              <w:spacing w:after="0"/>
            </w:pPr>
            <w:r/>
            <w:r>
              <w:rPr>
                <w:b w:val="0"/>
                <w:sz w:val="17"/>
              </w:rPr>
              <w:t>Only filtered tenant-scoped fields included; counts reconcile</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TC-EXP-002</w:t>
            </w:r>
          </w:p>
        </w:tc>
        <w:tc>
          <w:tcPr>
            <w:tcW w:type="dxa" w:w="2033"/>
            <w:vAlign w:val="center"/>
            <w:shd w:fill="F1F5FB"/>
          </w:tcPr>
          <w:p>
            <w:pPr>
              <w:spacing w:after="0"/>
            </w:pPr>
            <w:r/>
            <w:r>
              <w:rPr>
                <w:b w:val="0"/>
                <w:sz w:val="17"/>
              </w:rPr>
              <w:t>CSV formula injection</w:t>
            </w:r>
          </w:p>
        </w:tc>
        <w:tc>
          <w:tcPr>
            <w:tcW w:type="dxa" w:w="2033"/>
            <w:vAlign w:val="center"/>
            <w:shd w:fill="F1F5FB"/>
          </w:tcPr>
          <w:p>
            <w:pPr>
              <w:spacing w:after="0"/>
            </w:pPr>
            <w:r/>
            <w:r>
              <w:rPr>
                <w:b w:val="0"/>
                <w:sz w:val="17"/>
              </w:rPr>
              <w:t>Cell begins with =, +, -, or @</w:t>
            </w:r>
          </w:p>
        </w:tc>
        <w:tc>
          <w:tcPr>
            <w:tcW w:type="dxa" w:w="2033"/>
            <w:vAlign w:val="center"/>
            <w:shd w:fill="F1F5FB"/>
          </w:tcPr>
          <w:p>
            <w:pPr>
              <w:spacing w:after="0"/>
            </w:pPr>
            <w:r/>
            <w:r>
              <w:rPr>
                <w:b w:val="0"/>
                <w:sz w:val="17"/>
              </w:rPr>
              <w:t>Export escapes/sanitizes according to chosen spreadsheet-safe policy</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TC-KPI-001</w:t>
            </w:r>
          </w:p>
        </w:tc>
        <w:tc>
          <w:tcPr>
            <w:tcW w:type="dxa" w:w="2033"/>
            <w:vAlign w:val="center"/>
          </w:tcPr>
          <w:p>
            <w:pPr>
              <w:spacing w:after="0"/>
            </w:pPr>
            <w:r/>
            <w:r>
              <w:rPr>
                <w:b w:val="0"/>
                <w:sz w:val="17"/>
              </w:rPr>
              <w:t>Owner KPI isolation</w:t>
            </w:r>
          </w:p>
        </w:tc>
        <w:tc>
          <w:tcPr>
            <w:tcW w:type="dxa" w:w="2033"/>
            <w:vAlign w:val="center"/>
          </w:tcPr>
          <w:p>
            <w:pPr>
              <w:spacing w:after="0"/>
            </w:pPr>
            <w:r/>
            <w:r>
              <w:rPr>
                <w:b w:val="0"/>
                <w:sz w:val="17"/>
              </w:rPr>
              <w:t>Two tenants with known fixture totals</w:t>
            </w:r>
          </w:p>
        </w:tc>
        <w:tc>
          <w:tcPr>
            <w:tcW w:type="dxa" w:w="2033"/>
            <w:vAlign w:val="center"/>
          </w:tcPr>
          <w:p>
            <w:pPr>
              <w:spacing w:after="0"/>
            </w:pPr>
            <w:r/>
            <w:r>
              <w:rPr>
                <w:b w:val="0"/>
                <w:sz w:val="17"/>
              </w:rPr>
              <w:t>Dashboard totals include only selected tenant and match documented formulas</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TC-KPI-002</w:t>
            </w:r>
          </w:p>
        </w:tc>
        <w:tc>
          <w:tcPr>
            <w:tcW w:type="dxa" w:w="2033"/>
            <w:vAlign w:val="center"/>
            <w:shd w:fill="F1F5FB"/>
          </w:tcPr>
          <w:p>
            <w:pPr>
              <w:spacing w:after="0"/>
            </w:pPr>
            <w:r/>
            <w:r>
              <w:rPr>
                <w:b w:val="0"/>
                <w:sz w:val="17"/>
              </w:rPr>
              <w:t>Salesperson KPI scope</w:t>
            </w:r>
          </w:p>
        </w:tc>
        <w:tc>
          <w:tcPr>
            <w:tcW w:type="dxa" w:w="2033"/>
            <w:vAlign w:val="center"/>
            <w:shd w:fill="F1F5FB"/>
          </w:tcPr>
          <w:p>
            <w:pPr>
              <w:spacing w:after="0"/>
            </w:pPr>
            <w:r/>
            <w:r>
              <w:rPr>
                <w:b w:val="0"/>
                <w:sz w:val="17"/>
              </w:rPr>
              <w:t>Salesperson has own and other-owner leads</w:t>
            </w:r>
          </w:p>
        </w:tc>
        <w:tc>
          <w:tcPr>
            <w:tcW w:type="dxa" w:w="2033"/>
            <w:vAlign w:val="center"/>
            <w:shd w:fill="F1F5FB"/>
          </w:tcPr>
          <w:p>
            <w:pPr>
              <w:spacing w:after="0"/>
            </w:pPr>
            <w:r/>
            <w:r>
              <w:rPr>
                <w:b w:val="0"/>
                <w:sz w:val="17"/>
              </w:rPr>
              <w:t>Personal KPIs count only permitted records</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TC-AUD-001</w:t>
            </w:r>
          </w:p>
        </w:tc>
        <w:tc>
          <w:tcPr>
            <w:tcW w:type="dxa" w:w="2033"/>
            <w:vAlign w:val="center"/>
          </w:tcPr>
          <w:p>
            <w:pPr>
              <w:spacing w:after="0"/>
            </w:pPr>
            <w:r/>
            <w:r>
              <w:rPr>
                <w:b w:val="0"/>
                <w:sz w:val="17"/>
              </w:rPr>
              <w:t>Sensitive change audit</w:t>
            </w:r>
          </w:p>
        </w:tc>
        <w:tc>
          <w:tcPr>
            <w:tcW w:type="dxa" w:w="2033"/>
            <w:vAlign w:val="center"/>
          </w:tcPr>
          <w:p>
            <w:pPr>
              <w:spacing w:after="0"/>
            </w:pPr>
            <w:r/>
            <w:r>
              <w:rPr>
                <w:b w:val="0"/>
                <w:sz w:val="17"/>
              </w:rPr>
              <w:t>Role, tenant status, lead assignment/status changed</w:t>
            </w:r>
          </w:p>
        </w:tc>
        <w:tc>
          <w:tcPr>
            <w:tcW w:type="dxa" w:w="2033"/>
            <w:vAlign w:val="center"/>
          </w:tcPr>
          <w:p>
            <w:pPr>
              <w:spacing w:after="0"/>
            </w:pPr>
            <w:r/>
            <w:r>
              <w:rPr>
                <w:b w:val="0"/>
                <w:sz w:val="17"/>
              </w:rPr>
              <w:t>Audit record contains actor, entity, action and timestamp; no secret values</w:t>
            </w:r>
          </w:p>
        </w:tc>
        <w:tc>
          <w:tcPr>
            <w:tcW w:type="dxa" w:w="2033"/>
            <w:vAlign w:val="center"/>
          </w:tcPr>
          <w:p>
            <w:pPr>
              <w:spacing w:after="0"/>
            </w:pPr>
            <w:r/>
            <w:r>
              <w:rPr>
                <w:b w:val="0"/>
                <w:sz w:val="17"/>
              </w:rPr>
              <w:t>P0</w:t>
            </w:r>
          </w:p>
        </w:tc>
      </w:tr>
      <w:tr>
        <w:tc>
          <w:tcPr>
            <w:tcW w:type="dxa" w:w="2033"/>
            <w:vAlign w:val="center"/>
            <w:shd w:fill="F1F5FB"/>
          </w:tcPr>
          <w:p>
            <w:pPr>
              <w:spacing w:after="0"/>
            </w:pPr>
            <w:r/>
            <w:r>
              <w:rPr>
                <w:b w:val="0"/>
                <w:sz w:val="17"/>
              </w:rPr>
              <w:t>TC-DB-001</w:t>
            </w:r>
          </w:p>
        </w:tc>
        <w:tc>
          <w:tcPr>
            <w:tcW w:type="dxa" w:w="2033"/>
            <w:vAlign w:val="center"/>
            <w:shd w:fill="F1F5FB"/>
          </w:tcPr>
          <w:p>
            <w:pPr>
              <w:spacing w:after="0"/>
            </w:pPr>
            <w:r/>
            <w:r>
              <w:rPr>
                <w:b w:val="0"/>
                <w:sz w:val="17"/>
              </w:rPr>
              <w:t>Foreign key integrity</w:t>
            </w:r>
          </w:p>
        </w:tc>
        <w:tc>
          <w:tcPr>
            <w:tcW w:type="dxa" w:w="2033"/>
            <w:vAlign w:val="center"/>
            <w:shd w:fill="F1F5FB"/>
          </w:tcPr>
          <w:p>
            <w:pPr>
              <w:spacing w:after="0"/>
            </w:pPr>
            <w:r/>
            <w:r>
              <w:rPr>
                <w:b w:val="0"/>
                <w:sz w:val="17"/>
              </w:rPr>
              <w:t>Insert orphan project/lead/follow-up</w:t>
            </w:r>
          </w:p>
        </w:tc>
        <w:tc>
          <w:tcPr>
            <w:tcW w:type="dxa" w:w="2033"/>
            <w:vAlign w:val="center"/>
            <w:shd w:fill="F1F5FB"/>
          </w:tcPr>
          <w:p>
            <w:pPr>
              <w:spacing w:after="0"/>
            </w:pPr>
            <w:r/>
            <w:r>
              <w:rPr>
                <w:b w:val="0"/>
                <w:sz w:val="17"/>
              </w:rPr>
              <w:t>Database rejects invalid FK; API returns safe error</w:t>
            </w:r>
          </w:p>
        </w:tc>
        <w:tc>
          <w:tcPr>
            <w:tcW w:type="dxa" w:w="2033"/>
            <w:vAlign w:val="center"/>
            <w:shd w:fill="F1F5FB"/>
          </w:tcPr>
          <w:p>
            <w:pPr>
              <w:spacing w:after="0"/>
            </w:pPr>
            <w:r/>
            <w:r>
              <w:rPr>
                <w:b w:val="0"/>
                <w:sz w:val="17"/>
              </w:rPr>
              <w:t>P0</w:t>
            </w:r>
          </w:p>
        </w:tc>
      </w:tr>
      <w:tr>
        <w:tc>
          <w:tcPr>
            <w:tcW w:type="dxa" w:w="2033"/>
            <w:vAlign w:val="center"/>
          </w:tcPr>
          <w:p>
            <w:pPr>
              <w:spacing w:after="0"/>
            </w:pPr>
            <w:r/>
            <w:r>
              <w:rPr>
                <w:b w:val="0"/>
                <w:sz w:val="17"/>
              </w:rPr>
              <w:t>TC-DB-002</w:t>
            </w:r>
          </w:p>
        </w:tc>
        <w:tc>
          <w:tcPr>
            <w:tcW w:type="dxa" w:w="2033"/>
            <w:vAlign w:val="center"/>
          </w:tcPr>
          <w:p>
            <w:pPr>
              <w:spacing w:after="0"/>
            </w:pPr>
            <w:r/>
            <w:r>
              <w:rPr>
                <w:b w:val="0"/>
                <w:sz w:val="17"/>
              </w:rPr>
              <w:t>Concurrent update</w:t>
            </w:r>
          </w:p>
        </w:tc>
        <w:tc>
          <w:tcPr>
            <w:tcW w:type="dxa" w:w="2033"/>
            <w:vAlign w:val="center"/>
          </w:tcPr>
          <w:p>
            <w:pPr>
              <w:spacing w:after="0"/>
            </w:pPr>
            <w:r/>
            <w:r>
              <w:rPr>
                <w:b w:val="0"/>
                <w:sz w:val="17"/>
              </w:rPr>
              <w:t>Two users edit same lead simultaneously</w:t>
            </w:r>
          </w:p>
        </w:tc>
        <w:tc>
          <w:tcPr>
            <w:tcW w:type="dxa" w:w="2033"/>
            <w:vAlign w:val="center"/>
          </w:tcPr>
          <w:p>
            <w:pPr>
              <w:spacing w:after="0"/>
            </w:pPr>
            <w:r/>
            <w:r>
              <w:rPr>
                <w:b w:val="0"/>
                <w:sz w:val="17"/>
              </w:rPr>
              <w:t>Conflict/last-write policy deterministic; no silent corruption</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TC-UI-001</w:t>
            </w:r>
          </w:p>
        </w:tc>
        <w:tc>
          <w:tcPr>
            <w:tcW w:type="dxa" w:w="2033"/>
            <w:vAlign w:val="center"/>
            <w:shd w:fill="F1F5FB"/>
          </w:tcPr>
          <w:p>
            <w:pPr>
              <w:spacing w:after="0"/>
            </w:pPr>
            <w:r/>
            <w:r>
              <w:rPr>
                <w:b w:val="0"/>
                <w:sz w:val="17"/>
              </w:rPr>
              <w:t>Responsive layout</w:t>
            </w:r>
          </w:p>
        </w:tc>
        <w:tc>
          <w:tcPr>
            <w:tcW w:type="dxa" w:w="2033"/>
            <w:vAlign w:val="center"/>
            <w:shd w:fill="F1F5FB"/>
          </w:tcPr>
          <w:p>
            <w:pPr>
              <w:spacing w:after="0"/>
            </w:pPr>
            <w:r/>
            <w:r>
              <w:rPr>
                <w:b w:val="0"/>
                <w:sz w:val="17"/>
              </w:rPr>
              <w:t>Open core screens at 360px, tablet, desktop</w:t>
            </w:r>
          </w:p>
        </w:tc>
        <w:tc>
          <w:tcPr>
            <w:tcW w:type="dxa" w:w="2033"/>
            <w:vAlign w:val="center"/>
            <w:shd w:fill="F1F5FB"/>
          </w:tcPr>
          <w:p>
            <w:pPr>
              <w:spacing w:after="0"/>
            </w:pPr>
            <w:r/>
            <w:r>
              <w:rPr>
                <w:b w:val="0"/>
                <w:sz w:val="17"/>
              </w:rPr>
              <w:t>No page-level horizontal overflow; controls remain usable</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TC-UI-002</w:t>
            </w:r>
          </w:p>
        </w:tc>
        <w:tc>
          <w:tcPr>
            <w:tcW w:type="dxa" w:w="2033"/>
            <w:vAlign w:val="center"/>
          </w:tcPr>
          <w:p>
            <w:pPr>
              <w:spacing w:after="0"/>
            </w:pPr>
            <w:r/>
            <w:r>
              <w:rPr>
                <w:b w:val="0"/>
                <w:sz w:val="17"/>
              </w:rPr>
              <w:t>Keyboard/accessibility</w:t>
            </w:r>
          </w:p>
        </w:tc>
        <w:tc>
          <w:tcPr>
            <w:tcW w:type="dxa" w:w="2033"/>
            <w:vAlign w:val="center"/>
          </w:tcPr>
          <w:p>
            <w:pPr>
              <w:spacing w:after="0"/>
            </w:pPr>
            <w:r/>
            <w:r>
              <w:rPr>
                <w:b w:val="0"/>
                <w:sz w:val="17"/>
              </w:rPr>
              <w:t>Navigate forms/dialogs/table actions by keyboard</w:t>
            </w:r>
          </w:p>
        </w:tc>
        <w:tc>
          <w:tcPr>
            <w:tcW w:type="dxa" w:w="2033"/>
            <w:vAlign w:val="center"/>
          </w:tcPr>
          <w:p>
            <w:pPr>
              <w:spacing w:after="0"/>
            </w:pPr>
            <w:r/>
            <w:r>
              <w:rPr>
                <w:b w:val="0"/>
                <w:sz w:val="17"/>
              </w:rPr>
              <w:t>Visible focus, labels, logical tab order, errors announced accessibly</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TC-UI-003</w:t>
            </w:r>
          </w:p>
        </w:tc>
        <w:tc>
          <w:tcPr>
            <w:tcW w:type="dxa" w:w="2033"/>
            <w:vAlign w:val="center"/>
            <w:shd w:fill="F1F5FB"/>
          </w:tcPr>
          <w:p>
            <w:pPr>
              <w:spacing w:after="0"/>
            </w:pPr>
            <w:r/>
            <w:r>
              <w:rPr>
                <w:b w:val="0"/>
                <w:sz w:val="17"/>
              </w:rPr>
              <w:t>Loading/empty/error</w:t>
            </w:r>
          </w:p>
        </w:tc>
        <w:tc>
          <w:tcPr>
            <w:tcW w:type="dxa" w:w="2033"/>
            <w:vAlign w:val="center"/>
            <w:shd w:fill="F1F5FB"/>
          </w:tcPr>
          <w:p>
            <w:pPr>
              <w:spacing w:after="0"/>
            </w:pPr>
            <w:r/>
            <w:r>
              <w:rPr>
                <w:b w:val="0"/>
                <w:sz w:val="17"/>
              </w:rPr>
              <w:t>API slow, no records, API failure</w:t>
            </w:r>
          </w:p>
        </w:tc>
        <w:tc>
          <w:tcPr>
            <w:tcW w:type="dxa" w:w="2033"/>
            <w:vAlign w:val="center"/>
            <w:shd w:fill="F1F5FB"/>
          </w:tcPr>
          <w:p>
            <w:pPr>
              <w:spacing w:after="0"/>
            </w:pPr>
            <w:r/>
            <w:r>
              <w:rPr>
                <w:b w:val="0"/>
                <w:sz w:val="17"/>
              </w:rPr>
              <w:t>Skeleton/loading, empty state and recoverable error shown; no false success</w:t>
            </w:r>
          </w:p>
        </w:tc>
        <w:tc>
          <w:tcPr>
            <w:tcW w:type="dxa" w:w="2033"/>
            <w:vAlign w:val="center"/>
            <w:shd w:fill="F1F5FB"/>
          </w:tcPr>
          <w:p>
            <w:pPr>
              <w:spacing w:after="0"/>
            </w:pPr>
            <w:r/>
            <w:r>
              <w:rPr>
                <w:b w:val="0"/>
                <w:sz w:val="17"/>
              </w:rPr>
              <w:t>P1</w:t>
            </w:r>
          </w:p>
        </w:tc>
      </w:tr>
      <w:tr>
        <w:tc>
          <w:tcPr>
            <w:tcW w:type="dxa" w:w="2033"/>
            <w:vAlign w:val="center"/>
          </w:tcPr>
          <w:p>
            <w:pPr>
              <w:spacing w:after="0"/>
            </w:pPr>
            <w:r/>
            <w:r>
              <w:rPr>
                <w:b w:val="0"/>
                <w:sz w:val="17"/>
              </w:rPr>
              <w:t>TC-PERF-001</w:t>
            </w:r>
          </w:p>
        </w:tc>
        <w:tc>
          <w:tcPr>
            <w:tcW w:type="dxa" w:w="2033"/>
            <w:vAlign w:val="center"/>
          </w:tcPr>
          <w:p>
            <w:pPr>
              <w:spacing w:after="0"/>
            </w:pPr>
            <w:r/>
            <w:r>
              <w:rPr>
                <w:b w:val="0"/>
                <w:sz w:val="17"/>
              </w:rPr>
              <w:t>Lead list load</w:t>
            </w:r>
          </w:p>
        </w:tc>
        <w:tc>
          <w:tcPr>
            <w:tcW w:type="dxa" w:w="2033"/>
            <w:vAlign w:val="center"/>
          </w:tcPr>
          <w:p>
            <w:pPr>
              <w:spacing w:after="0"/>
            </w:pPr>
            <w:r/>
            <w:r>
              <w:rPr>
                <w:b w:val="0"/>
                <w:sz w:val="17"/>
              </w:rPr>
              <w:t>Agreed seed dataset and concurrent users</w:t>
            </w:r>
          </w:p>
        </w:tc>
        <w:tc>
          <w:tcPr>
            <w:tcW w:type="dxa" w:w="2033"/>
            <w:vAlign w:val="center"/>
          </w:tcPr>
          <w:p>
            <w:pPr>
              <w:spacing w:after="0"/>
            </w:pPr>
            <w:r/>
            <w:r>
              <w:rPr>
                <w:b w:val="0"/>
                <w:sz w:val="17"/>
              </w:rPr>
              <w:t>p95 target met or variance documented; query plan reviewed</w:t>
            </w:r>
          </w:p>
        </w:tc>
        <w:tc>
          <w:tcPr>
            <w:tcW w:type="dxa" w:w="2033"/>
            <w:vAlign w:val="center"/>
          </w:tcPr>
          <w:p>
            <w:pPr>
              <w:spacing w:after="0"/>
            </w:pPr>
            <w:r/>
            <w:r>
              <w:rPr>
                <w:b w:val="0"/>
                <w:sz w:val="17"/>
              </w:rPr>
              <w:t>P1</w:t>
            </w:r>
          </w:p>
        </w:tc>
      </w:tr>
      <w:tr>
        <w:tc>
          <w:tcPr>
            <w:tcW w:type="dxa" w:w="2033"/>
            <w:vAlign w:val="center"/>
            <w:shd w:fill="F1F5FB"/>
          </w:tcPr>
          <w:p>
            <w:pPr>
              <w:spacing w:after="0"/>
            </w:pPr>
            <w:r/>
            <w:r>
              <w:rPr>
                <w:b w:val="0"/>
                <w:sz w:val="17"/>
              </w:rPr>
              <w:t>TC-OPS-001</w:t>
            </w:r>
          </w:p>
        </w:tc>
        <w:tc>
          <w:tcPr>
            <w:tcW w:type="dxa" w:w="2033"/>
            <w:vAlign w:val="center"/>
            <w:shd w:fill="F1F5FB"/>
          </w:tcPr>
          <w:p>
            <w:pPr>
              <w:spacing w:after="0"/>
            </w:pPr>
            <w:r/>
            <w:r>
              <w:rPr>
                <w:b w:val="0"/>
                <w:sz w:val="17"/>
              </w:rPr>
              <w:t>Backup restore</w:t>
            </w:r>
          </w:p>
        </w:tc>
        <w:tc>
          <w:tcPr>
            <w:tcW w:type="dxa" w:w="2033"/>
            <w:vAlign w:val="center"/>
            <w:shd w:fill="F1F5FB"/>
          </w:tcPr>
          <w:p>
            <w:pPr>
              <w:spacing w:after="0"/>
            </w:pPr>
            <w:r/>
            <w:r>
              <w:rPr>
                <w:b w:val="0"/>
                <w:sz w:val="17"/>
              </w:rPr>
              <w:t>Restore recent backup to isolated environment</w:t>
            </w:r>
          </w:p>
        </w:tc>
        <w:tc>
          <w:tcPr>
            <w:tcW w:type="dxa" w:w="2033"/>
            <w:vAlign w:val="center"/>
            <w:shd w:fill="F1F5FB"/>
          </w:tcPr>
          <w:p>
            <w:pPr>
              <w:spacing w:after="0"/>
            </w:pPr>
            <w:r/>
            <w:r>
              <w:rPr>
                <w:b w:val="0"/>
                <w:sz w:val="17"/>
              </w:rPr>
              <w:t>App starts and integrity checks pass; RPO/RTO measured</w:t>
            </w:r>
          </w:p>
        </w:tc>
        <w:tc>
          <w:tcPr>
            <w:tcW w:type="dxa" w:w="2033"/>
            <w:vAlign w:val="center"/>
            <w:shd w:fill="F1F5FB"/>
          </w:tcPr>
          <w:p>
            <w:pPr>
              <w:spacing w:after="0"/>
            </w:pPr>
            <w:r/>
            <w:r>
              <w:rPr>
                <w:b w:val="0"/>
                <w:sz w:val="17"/>
              </w:rPr>
              <w:t>P0</w:t>
            </w:r>
          </w:p>
        </w:tc>
      </w:tr>
    </w:tbl>
    <w:p/>
    <w:p>
      <w:pPr>
        <w:pStyle w:val="Heading1"/>
      </w:pPr>
      <w:r>
        <w:t>6. Required test data</w:t>
      </w:r>
    </w:p>
    <w:p>
      <w:pPr>
        <w:pStyle w:val="ListBullet"/>
        <w:spacing w:after="40"/>
      </w:pPr>
      <w:r>
        <w:t>Tenant A: active business, owner, marketing user, two salespeople, projects for all four templates, leads across all statuses.</w:t>
      </w:r>
    </w:p>
    <w:p>
      <w:pPr>
        <w:pStyle w:val="ListBullet"/>
        <w:spacing w:after="40"/>
      </w:pPr>
      <w:r>
        <w:t>Tenant B: separate business with owner/salesperson and known records to detect leakage.</w:t>
      </w:r>
    </w:p>
    <w:p>
      <w:pPr>
        <w:pStyle w:val="ListBullet"/>
        <w:spacing w:after="40"/>
      </w:pPr>
      <w:r>
        <w:t>Disabled user, suspended tenant, salesperson without project membership, duplicate import rows, invalid custom field values.</w:t>
      </w:r>
    </w:p>
    <w:p>
      <w:pPr>
        <w:pStyle w:val="ListBullet"/>
        <w:spacing w:after="40"/>
      </w:pPr>
      <w:r>
        <w:t>Follow-ups at previous day, current day, next day and DST/timezone boundary where supported.</w:t>
      </w:r>
    </w:p>
    <w:p>
      <w:pPr>
        <w:pStyle w:val="ListBullet"/>
        <w:spacing w:after="40"/>
      </w:pPr>
      <w:r>
        <w:t>Known KPI fixture set with documented expected counts/amounts/conversion rate.</w:t>
      </w:r>
    </w:p>
    <w:p>
      <w:pPr>
        <w:pStyle w:val="Heading1"/>
      </w:pPr>
      <w:r>
        <w:t>7. Automation plan</w:t>
      </w:r>
    </w:p>
    <w:p>
      <w:pPr>
        <w:pStyle w:val="ListNumber"/>
        <w:spacing w:after="40"/>
      </w:pPr>
      <w:r>
        <w:t>Add unit tests alongside service functions and frontend components.</w:t>
      </w:r>
    </w:p>
    <w:p>
      <w:pPr>
        <w:pStyle w:val="ListNumber"/>
        <w:spacing w:after="40"/>
      </w:pPr>
      <w:r>
        <w:t>Run backend tests against disposable PostgreSQL, not SQLite-only, for constraint and tenant behavior.</w:t>
      </w:r>
    </w:p>
    <w:p>
      <w:pPr>
        <w:pStyle w:val="ListNumber"/>
        <w:spacing w:after="40"/>
      </w:pPr>
      <w:r>
        <w:t>Add Playwright smoke path for each role and core lead workflow.</w:t>
      </w:r>
    </w:p>
    <w:p>
      <w:pPr>
        <w:pStyle w:val="ListNumber"/>
        <w:spacing w:after="40"/>
      </w:pPr>
      <w:r>
        <w:t>Run permission-matrix tests against every protected endpoint and object identifier.</w:t>
      </w:r>
    </w:p>
    <w:p>
      <w:pPr>
        <w:pStyle w:val="ListNumber"/>
        <w:spacing w:after="40"/>
      </w:pPr>
      <w:r>
        <w:t>Run CI on pull requests; require tests and lint/type checks before merge.</w:t>
      </w:r>
    </w:p>
    <w:p>
      <w:pPr>
        <w:pStyle w:val="ListNumber"/>
        <w:spacing w:after="40"/>
      </w:pPr>
      <w:r>
        <w:t>Run staging smoke tests and manual UAT before each production release.</w:t>
      </w:r>
    </w:p>
    <w:p>
      <w:pPr>
        <w:pStyle w:val="Heading1"/>
      </w:pPr>
      <w:r>
        <w:t>8. Security reference</w:t>
      </w:r>
    </w:p>
    <w:p>
      <w:r>
        <w:t>Use the OWASP API Security Top 10 (2023) as a risk checklist, especially Broken Object Level Authorization, Broken Authentication, Broken Object Property Level Authorization and Broken Function Level Authorization: https://owasp.org/www-project-api-security/.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Internal working specification • Confirm assumptions before production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AADI CRM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3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6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14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7E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6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