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aqoh9d8m7qu" w:id="0"/>
      <w:bookmarkEnd w:id="0"/>
      <w:r w:rsidDel="00000000" w:rsidR="00000000" w:rsidRPr="00000000">
        <w:rPr>
          <w:b w:val="1"/>
          <w:bCs w:val="1"/>
          <w:sz w:val="46"/>
          <w:szCs w:val="46"/>
          <w:rtl w:val="0"/>
        </w:rPr>
        <w:t xml:space="preserve">SaaS Development and Strategy: Comprehensive 2025–2026 Briefing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om4k2cz4npn"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As of 2025–2026, Software as a Service (SaaS) has transitioned from a mere delivery model to the foundational infrastructure of the digital economy. Successful SaaS development now requires a shift from "speed-at-all-costs" to a strategy of "lean validation" and "modular scalability."</w:t>
      </w:r>
    </w:p>
    <w:p w:rsidR="00000000" w:rsidDel="00000000" w:rsidP="00000000" w:rsidRDefault="00000000" w:rsidRPr="00000000" w14:paraId="00000004">
      <w:pPr>
        <w:spacing w:after="240" w:before="240" w:lineRule="auto"/>
        <w:rPr/>
      </w:pPr>
      <w:r w:rsidDel="00000000" w:rsidR="00000000" w:rsidRPr="00000000">
        <w:rPr>
          <w:rtl w:val="0"/>
        </w:rPr>
        <w:t xml:space="preserve">Critical takeaways for the current landscape include:</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bCs w:val="1"/>
          <w:rtl w:val="0"/>
        </w:rPr>
        <w:t xml:space="preserve">AI Integration is Mandatory:</w:t>
      </w:r>
      <w:r w:rsidDel="00000000" w:rsidR="00000000" w:rsidRPr="00000000">
        <w:rPr>
          <w:rtl w:val="0"/>
        </w:rPr>
        <w:t xml:space="preserve"> Artificial Intelligence is no longer a peripheral feature; it is the core of personalized user experiences and operational efficiency.</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The Rise of the "Agentic" Era:</w:t>
      </w:r>
      <w:r w:rsidDel="00000000" w:rsidR="00000000" w:rsidRPr="00000000">
        <w:rPr>
          <w:rtl w:val="0"/>
        </w:rPr>
        <w:t xml:space="preserve"> Authentication and architecture must now accommodate AI agents and machine-to-machine (M2M) interactions as first-class citizens alongside human users.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Strategic Validation:</w:t>
      </w:r>
      <w:r w:rsidDel="00000000" w:rsidR="00000000" w:rsidRPr="00000000">
        <w:rPr>
          <w:rtl w:val="0"/>
        </w:rPr>
        <w:t xml:space="preserve"> Founders are advised to target "boring" markets with validated demand rather than inventing new categories.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Technical Foundation:</w:t>
      </w:r>
      <w:r w:rsidDel="00000000" w:rsidR="00000000" w:rsidRPr="00000000">
        <w:rPr>
          <w:rtl w:val="0"/>
        </w:rPr>
        <w:t xml:space="preserve"> Modern stacks prioritize cloud-native, API-first, and multi-tenant architectures. Next.js, Node.js, and PostgreSQL remain dominant, while distributed SQL (e.g., CockroachDB) handles global scale.</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Growth Paradigms:</w:t>
      </w:r>
      <w:r w:rsidDel="00000000" w:rsidR="00000000" w:rsidRPr="00000000">
        <w:rPr>
          <w:rtl w:val="0"/>
        </w:rPr>
        <w:t xml:space="preserve"> While Product-Led Growth (PLG) offers lower acquisition costs, a hybrid approach—integrating Sales-Led Growth (SLG) for enterprise tiers—is becoming the industry standard for maximizing revenue.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7pop71o4797" w:id="2"/>
      <w:bookmarkEnd w:id="2"/>
      <w:r w:rsidDel="00000000" w:rsidR="00000000" w:rsidRPr="00000000">
        <w:rPr>
          <w:b w:val="1"/>
          <w:bCs w:val="1"/>
          <w:sz w:val="34"/>
          <w:szCs w:val="34"/>
          <w:rtl w:val="0"/>
        </w:rPr>
        <w:t xml:space="preserve">1. Foundational SaaS Principles and Market Dynamics</w:t>
      </w:r>
    </w:p>
    <w:p w:rsidR="00000000" w:rsidDel="00000000" w:rsidP="00000000" w:rsidRDefault="00000000" w:rsidRPr="00000000" w14:paraId="0000000C">
      <w:pPr>
        <w:spacing w:after="240" w:before="240" w:lineRule="auto"/>
        <w:rPr/>
      </w:pPr>
      <w:r w:rsidDel="00000000" w:rsidR="00000000" w:rsidRPr="00000000">
        <w:rPr>
          <w:rtl w:val="0"/>
        </w:rPr>
        <w:t xml:space="preserve">SaaS is defined as cloud-based software delivered via subscription, where the provider manages infrastructure, security, and updates. In 2025, the model focuses on three core value propositions: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Cost-Effectiveness:</w:t>
      </w:r>
      <w:r w:rsidDel="00000000" w:rsidR="00000000" w:rsidRPr="00000000">
        <w:rPr>
          <w:rtl w:val="0"/>
        </w:rPr>
        <w:t xml:space="preserve"> Eliminates upfront hardware and licensing costs in favor of predictable, usage-based, or tiered pricing.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Rapid Iteration:</w:t>
      </w:r>
      <w:r w:rsidDel="00000000" w:rsidR="00000000" w:rsidRPr="00000000">
        <w:rPr>
          <w:rtl w:val="0"/>
        </w:rPr>
        <w:t xml:space="preserve"> Continuous deployment allows for instantaneous updates and immediate user feedback loops.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Modern cloud services allow applications to expand horizontally and vertically to handle fluctuating workloads without performance degradation.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dn3o1h5cedw" w:id="3"/>
      <w:bookmarkEnd w:id="3"/>
      <w:r w:rsidDel="00000000" w:rsidR="00000000" w:rsidRPr="00000000">
        <w:rPr>
          <w:b w:val="1"/>
          <w:bCs w:val="1"/>
          <w:color w:val="000000"/>
          <w:sz w:val="26"/>
          <w:szCs w:val="26"/>
          <w:rtl w:val="0"/>
        </w:rPr>
        <w:t xml:space="preserve">The 2025 Strategic Shift</w:t>
      </w:r>
    </w:p>
    <w:p w:rsidR="00000000" w:rsidDel="00000000" w:rsidP="00000000" w:rsidRDefault="00000000" w:rsidRPr="00000000" w14:paraId="00000011">
      <w:pPr>
        <w:spacing w:after="240" w:before="240" w:lineRule="auto"/>
        <w:rPr/>
      </w:pPr>
      <w:r w:rsidDel="00000000" w:rsidR="00000000" w:rsidRPr="00000000">
        <w:rPr>
          <w:rtl w:val="0"/>
        </w:rPr>
        <w:t xml:space="preserve">The "build it and they will come" mentality has been replaced by a rigorous 14-step development guide, emphasizing that most failures stem from bad strategy rather than bad code. Key strategic pivots include: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Boring Markets:</w:t>
      </w:r>
      <w:r w:rsidDel="00000000" w:rsidR="00000000" w:rsidRPr="00000000">
        <w:rPr>
          <w:rtl w:val="0"/>
        </w:rPr>
        <w:t xml:space="preserve"> Success is often found in established verticals (CRMs, internal dashboards) where users are dissatisfied with current legacy solutions.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Validation Over Invention:</w:t>
      </w:r>
      <w:r w:rsidDel="00000000" w:rsidR="00000000" w:rsidRPr="00000000">
        <w:rPr>
          <w:rtl w:val="0"/>
        </w:rPr>
        <w:t xml:space="preserve"> Developers must confirm "user pain" through customer interviews and technical feasibility studies before writing code.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Monetization as Architecture:</w:t>
      </w:r>
      <w:r w:rsidDel="00000000" w:rsidR="00000000" w:rsidRPr="00000000">
        <w:rPr>
          <w:rtl w:val="0"/>
        </w:rPr>
        <w:t xml:space="preserve"> Tiered management and feature gating must be built into the identity and access control layers from day one.</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m9egiht7wlc" w:id="4"/>
      <w:bookmarkEnd w:id="4"/>
      <w:r w:rsidDel="00000000" w:rsidR="00000000" w:rsidRPr="00000000">
        <w:rPr>
          <w:b w:val="1"/>
          <w:bCs w:val="1"/>
          <w:sz w:val="34"/>
          <w:szCs w:val="34"/>
          <w:rtl w:val="0"/>
        </w:rPr>
        <w:t xml:space="preserve">2. Technical Architecture and the Modern Tech Stack</w:t>
      </w:r>
    </w:p>
    <w:p w:rsidR="00000000" w:rsidDel="00000000" w:rsidP="00000000" w:rsidRDefault="00000000" w:rsidRPr="00000000" w14:paraId="00000017">
      <w:pPr>
        <w:spacing w:after="240" w:before="240" w:lineRule="auto"/>
        <w:rPr/>
      </w:pPr>
      <w:r w:rsidDel="00000000" w:rsidR="00000000" w:rsidRPr="00000000">
        <w:rPr>
          <w:rtl w:val="0"/>
        </w:rPr>
        <w:t xml:space="preserve">Modern SaaS must be "cloud-native from day one." The stack is the skeleton of the product and must be chosen for reliability and ecosystem support.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y0molouga7a" w:id="5"/>
      <w:bookmarkEnd w:id="5"/>
      <w:r w:rsidDel="00000000" w:rsidR="00000000" w:rsidRPr="00000000">
        <w:rPr>
          <w:b w:val="1"/>
          <w:bCs w:val="1"/>
          <w:color w:val="000000"/>
          <w:sz w:val="26"/>
          <w:szCs w:val="26"/>
          <w:rtl w:val="0"/>
        </w:rPr>
        <w:t xml:space="preserve">Recommended Tech Stack (2025)</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693.2911392405063"/>
        <w:gridCol w:w="2863.2911392405067"/>
        <w:gridCol w:w="4803.4177215189875"/>
        <w:tblGridChange w:id="0">
          <w:tblGrid>
            <w:gridCol w:w="1693.2911392405063"/>
            <w:gridCol w:w="2863.2911392405067"/>
            <w:gridCol w:w="4803.4177215189875"/>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Layer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Technology Options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Rationale</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Frontend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React.js, Next.js, SvelteKit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Next.js is preferred for SEO and global performance.</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Backend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Node.js, Go (Golang), Python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Go is favored for high-performance microservices; Python for AI/ML support.</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Database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PostgreSQL, MongoDB, CockroachDB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PostgreSQL is the relational default; CockroachDB for multi-region scale.</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Infrastructure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AWS, Google Cloud (GCP), Azure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Multi-cloud strategies are rising to reduce vendor lock-in.</w:t>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59w486a6uae" w:id="6"/>
      <w:bookmarkEnd w:id="6"/>
      <w:r w:rsidDel="00000000" w:rsidR="00000000" w:rsidRPr="00000000">
        <w:rPr>
          <w:b w:val="1"/>
          <w:bCs w:val="1"/>
          <w:color w:val="000000"/>
          <w:sz w:val="26"/>
          <w:szCs w:val="26"/>
          <w:rtl w:val="0"/>
        </w:rPr>
        <w:t xml:space="preserve">Architectural Best Practices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Modular Monolith to Microservices:</w:t>
      </w:r>
      <w:r w:rsidDel="00000000" w:rsidR="00000000" w:rsidRPr="00000000">
        <w:rPr>
          <w:rtl w:val="0"/>
        </w:rPr>
        <w:t xml:space="preserve"> Start with a clean modular monolith for speed. Transition to microservices only when the team and product complexity demand component-level scaling.</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API-First Design:</w:t>
      </w:r>
      <w:r w:rsidDel="00000000" w:rsidR="00000000" w:rsidRPr="00000000">
        <w:rPr>
          <w:rtl w:val="0"/>
        </w:rPr>
        <w:t xml:space="preserve"> Applications should not live in silos. Internal APIs should be documented as if they were public to facilitate future integrations.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Multi-Tenancy:</w:t>
      </w:r>
      <w:r w:rsidDel="00000000" w:rsidR="00000000" w:rsidRPr="00000000">
        <w:rPr>
          <w:rtl w:val="0"/>
        </w:rPr>
        <w:t xml:space="preserve"> This is the foundation of B2B SaaS, requiring organization-level data isolation, role-based access control (RBAC), and tenant-aware logging.</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91yzfvpoqle" w:id="7"/>
      <w:bookmarkEnd w:id="7"/>
      <w:r w:rsidDel="00000000" w:rsidR="00000000" w:rsidRPr="00000000">
        <w:rPr>
          <w:b w:val="1"/>
          <w:bCs w:val="1"/>
          <w:sz w:val="34"/>
          <w:szCs w:val="34"/>
          <w:rtl w:val="0"/>
        </w:rPr>
        <w:t xml:space="preserve">3. The AI-Driven SaaS Blueprint</w:t>
      </w:r>
    </w:p>
    <w:p w:rsidR="00000000" w:rsidDel="00000000" w:rsidP="00000000" w:rsidRDefault="00000000" w:rsidRPr="00000000" w14:paraId="0000002E">
      <w:pPr>
        <w:spacing w:after="240" w:before="240" w:lineRule="auto"/>
        <w:rPr/>
      </w:pPr>
      <w:r w:rsidDel="00000000" w:rsidR="00000000" w:rsidRPr="00000000">
        <w:rPr>
          <w:rtl w:val="0"/>
        </w:rPr>
        <w:t xml:space="preserve">AI is currently described as "the entire sundae," not just the cherry on top. Users now expect predictive analytics, automated workflows, and instantaneous insights.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tdgvpiuo8r9" w:id="8"/>
      <w:bookmarkEnd w:id="8"/>
      <w:r w:rsidDel="00000000" w:rsidR="00000000" w:rsidRPr="00000000">
        <w:rPr>
          <w:b w:val="1"/>
          <w:bCs w:val="1"/>
          <w:color w:val="000000"/>
          <w:sz w:val="26"/>
          <w:szCs w:val="26"/>
          <w:rtl w:val="0"/>
        </w:rPr>
        <w:t xml:space="preserve">Core AI Components</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Data Pipelines:</w:t>
      </w:r>
      <w:r w:rsidDel="00000000" w:rsidR="00000000" w:rsidRPr="00000000">
        <w:rPr>
          <w:rtl w:val="0"/>
        </w:rPr>
        <w:t xml:space="preserve"> Robust mechanisms (Apache Kafka, AWS Kinesis) for real-time data ingestion are essential.</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MLOps (Machine Learning Operations):</w:t>
      </w:r>
      <w:r w:rsidDel="00000000" w:rsidR="00000000" w:rsidRPr="00000000">
        <w:rPr>
          <w:rtl w:val="0"/>
        </w:rPr>
        <w:t xml:space="preserve"> This is the "DevOps for AI," handling model versioning, artifact tracking, and performance monitoring for "model drift."</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bCs w:val="1"/>
          <w:rtl w:val="0"/>
        </w:rPr>
        <w:t xml:space="preserve">Edge Computing:</w:t>
      </w:r>
      <w:r w:rsidDel="00000000" w:rsidR="00000000" w:rsidRPr="00000000">
        <w:rPr>
          <w:rtl w:val="0"/>
        </w:rPr>
        <w:t xml:space="preserve"> To reduce latency in 2025, small inference models are increasingly pushed to the "edge" (closer to the data source/user).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jdbg651pd4y" w:id="9"/>
      <w:bookmarkEnd w:id="9"/>
      <w:r w:rsidDel="00000000" w:rsidR="00000000" w:rsidRPr="00000000">
        <w:rPr>
          <w:b w:val="1"/>
          <w:bCs w:val="1"/>
          <w:color w:val="000000"/>
          <w:sz w:val="26"/>
          <w:szCs w:val="26"/>
          <w:rtl w:val="0"/>
        </w:rPr>
        <w:t xml:space="preserve">AI Implementation Challenges</w:t>
      </w:r>
    </w:p>
    <w:p w:rsidR="00000000" w:rsidDel="00000000" w:rsidP="00000000" w:rsidRDefault="00000000" w:rsidRPr="00000000" w14:paraId="00000034">
      <w:pPr>
        <w:spacing w:after="240" w:before="240" w:lineRule="auto"/>
        <w:rPr/>
      </w:pPr>
      <w:r w:rsidDel="00000000" w:rsidR="00000000" w:rsidRPr="00000000">
        <w:rPr>
          <w:rtl w:val="0"/>
        </w:rPr>
        <w:t xml:space="preserve">Developers must avoid the "server melting" effect of real-world data volume. Scalability is about resilience against chaotic real-world sensor data, not just theoretical throughput. Optimization techniques like model pruning and quantization are required to keep cloud GPU costs manageable.</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33gxkvhbzqz" w:id="10"/>
      <w:bookmarkEnd w:id="10"/>
      <w:r w:rsidDel="00000000" w:rsidR="00000000" w:rsidRPr="00000000">
        <w:rPr>
          <w:b w:val="1"/>
          <w:bCs w:val="1"/>
          <w:sz w:val="34"/>
          <w:szCs w:val="34"/>
          <w:rtl w:val="0"/>
        </w:rPr>
        <w:t xml:space="preserve">4. Growth and Implementation Strategies</w:t>
      </w:r>
    </w:p>
    <w:p w:rsidR="00000000" w:rsidDel="00000000" w:rsidP="00000000" w:rsidRDefault="00000000" w:rsidRPr="00000000" w14:paraId="00000037">
      <w:pPr>
        <w:spacing w:after="240" w:before="240" w:lineRule="auto"/>
        <w:rPr/>
      </w:pPr>
      <w:r w:rsidDel="00000000" w:rsidR="00000000" w:rsidRPr="00000000">
        <w:rPr>
          <w:rtl w:val="0"/>
        </w:rPr>
        <w:t xml:space="preserve">SaaS companies must choose between two primary growth engines, though many are moving toward a hybrid model.</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rwzpfsltmiir" w:id="11"/>
      <w:bookmarkEnd w:id="11"/>
      <w:r w:rsidDel="00000000" w:rsidR="00000000" w:rsidRPr="00000000">
        <w:rPr>
          <w:b w:val="1"/>
          <w:bCs w:val="1"/>
          <w:color w:val="000000"/>
          <w:sz w:val="26"/>
          <w:szCs w:val="26"/>
          <w:rtl w:val="0"/>
        </w:rPr>
        <w:t xml:space="preserve">PLG vs. SLG Comparison</w:t>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96.835443037975"/>
        <w:gridCol w:w="3529.746835443038"/>
        <w:gridCol w:w="3633.4177215189875"/>
        <w:tblGridChange w:id="0">
          <w:tblGrid>
            <w:gridCol w:w="2196.835443037975"/>
            <w:gridCol w:w="3529.746835443038"/>
            <w:gridCol w:w="3633.4177215189875"/>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Feature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Product-Led Growth (PLG)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Sales-Led Growth (SLG)</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Primary Driver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The Product (Experience)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The Sales Team (Interaction)</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Acquisition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Self-serve (Freemium/Trial)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Personalized selling/Demos</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Target Market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SMBs, Mid-market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Large Enterprise</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CAC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Lower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Higher</w:t>
            </w:r>
          </w:p>
        </w:tc>
      </w:tr>
    </w:tbl>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2jjs1y31au54" w:id="12"/>
      <w:bookmarkEnd w:id="12"/>
      <w:r w:rsidDel="00000000" w:rsidR="00000000" w:rsidRPr="00000000">
        <w:rPr>
          <w:b w:val="1"/>
          <w:bCs w:val="1"/>
          <w:color w:val="000000"/>
          <w:sz w:val="26"/>
          <w:szCs w:val="26"/>
          <w:rtl w:val="0"/>
        </w:rPr>
        <w:t xml:space="preserve">Modern Implementation (2026)</w:t>
      </w:r>
    </w:p>
    <w:p w:rsidR="00000000" w:rsidDel="00000000" w:rsidP="00000000" w:rsidRDefault="00000000" w:rsidRPr="00000000" w14:paraId="00000049">
      <w:pPr>
        <w:spacing w:after="240" w:before="240" w:lineRule="auto"/>
        <w:rPr/>
      </w:pPr>
      <w:r w:rsidDel="00000000" w:rsidR="00000000" w:rsidRPr="00000000">
        <w:rPr>
          <w:rtl w:val="0"/>
        </w:rPr>
        <w:t xml:space="preserve">Implementation is the process of integrating software into existing workflows. In 2026, "interactive demos" are the primary tool for driving adoption.</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Self-guided Implementation:</w:t>
      </w:r>
      <w:r w:rsidDel="00000000" w:rsidR="00000000" w:rsidRPr="00000000">
        <w:rPr>
          <w:rtl w:val="0"/>
        </w:rPr>
        <w:t xml:space="preserve"> For simple products, utilizing automated onboarding and help documentation.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Enterprise Implementation:</w:t>
      </w:r>
      <w:r w:rsidDel="00000000" w:rsidR="00000000" w:rsidRPr="00000000">
        <w:rPr>
          <w:rtl w:val="0"/>
        </w:rPr>
        <w:t xml:space="preserve"> Requires IT implementation, security compliance (SOC 2, GDPR), and admin training.</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Interactive Demo Tools:</w:t>
      </w:r>
      <w:r w:rsidDel="00000000" w:rsidR="00000000" w:rsidRPr="00000000">
        <w:rPr>
          <w:rtl w:val="0"/>
        </w:rPr>
        <w:t xml:space="preserve"> Platforms like Storylane and Consensus allow GTM teams to create "HTML sandboxes" and personalized tours, replacing static videos. These tools now include "AI Sales Agents" (e.g., Lily AI) to handle prospect inquiries 24/7.</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1k8i7tdkwlb" w:id="13"/>
      <w:bookmarkEnd w:id="13"/>
      <w:r w:rsidDel="00000000" w:rsidR="00000000" w:rsidRPr="00000000">
        <w:rPr>
          <w:b w:val="1"/>
          <w:bCs w:val="1"/>
          <w:sz w:val="34"/>
          <w:szCs w:val="34"/>
          <w:rtl w:val="0"/>
        </w:rPr>
        <w:t xml:space="preserve">5. Legal, Formation, and Compliance</w:t>
      </w:r>
    </w:p>
    <w:p w:rsidR="00000000" w:rsidDel="00000000" w:rsidP="00000000" w:rsidRDefault="00000000" w:rsidRPr="00000000" w14:paraId="0000004F">
      <w:pPr>
        <w:spacing w:after="240" w:before="240" w:lineRule="auto"/>
        <w:rPr/>
      </w:pPr>
      <w:r w:rsidDel="00000000" w:rsidR="00000000" w:rsidRPr="00000000">
        <w:rPr>
          <w:rtl w:val="0"/>
        </w:rPr>
        <w:t xml:space="preserve">For startups on a Venture Capital (VC) track, legal structure is non-negotiable.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jmhvf8p1ff8" w:id="14"/>
      <w:bookmarkEnd w:id="14"/>
      <w:r w:rsidDel="00000000" w:rsidR="00000000" w:rsidRPr="00000000">
        <w:rPr>
          <w:b w:val="1"/>
          <w:bCs w:val="1"/>
          <w:color w:val="000000"/>
          <w:sz w:val="26"/>
          <w:szCs w:val="26"/>
          <w:rtl w:val="0"/>
        </w:rPr>
        <w:t xml:space="preserve">Incorporation and Equity</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bCs w:val="1"/>
          <w:rtl w:val="0"/>
        </w:rPr>
        <w:t xml:space="preserve">Delaware C Corporation:</w:t>
      </w:r>
      <w:r w:rsidDel="00000000" w:rsidR="00000000" w:rsidRPr="00000000">
        <w:rPr>
          <w:rtl w:val="0"/>
        </w:rPr>
        <w:t xml:space="preserve"> The industry standard for VC-track startups due to tax and equity grant characteristics.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Founder Equity:</w:t>
      </w:r>
      <w:r w:rsidDel="00000000" w:rsidR="00000000" w:rsidRPr="00000000">
        <w:rPr>
          <w:rtl w:val="0"/>
        </w:rPr>
        <w:t xml:space="preserve"> Stocks should be purchased at Fair Market Value (FMV) to avoid IRS penalties.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83(b) Election:</w:t>
      </w:r>
      <w:r w:rsidDel="00000000" w:rsidR="00000000" w:rsidRPr="00000000">
        <w:rPr>
          <w:rtl w:val="0"/>
        </w:rPr>
        <w:t xml:space="preserve"> A critical personal tax decision that must be filed within 30 days of a stock grant to treat the stock's value as vested today for tax purposes.</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b w:val="1"/>
          <w:bCs w:val="1"/>
          <w:rtl w:val="0"/>
        </w:rPr>
        <w:t xml:space="preserve">SAFE (Simple Agreement for Future Equity):</w:t>
      </w:r>
      <w:r w:rsidDel="00000000" w:rsidR="00000000" w:rsidRPr="00000000">
        <w:rPr>
          <w:rtl w:val="0"/>
        </w:rPr>
        <w:t xml:space="preserve"> Preferred for early rounds to defer valuation and reduce legal fees.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b2y59dk01vo" w:id="15"/>
      <w:bookmarkEnd w:id="15"/>
      <w:r w:rsidDel="00000000" w:rsidR="00000000" w:rsidRPr="00000000">
        <w:rPr>
          <w:b w:val="1"/>
          <w:bCs w:val="1"/>
          <w:color w:val="000000"/>
          <w:sz w:val="26"/>
          <w:szCs w:val="26"/>
          <w:rtl w:val="0"/>
        </w:rPr>
        <w:t xml:space="preserve">IP and Compliance</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b w:val="1"/>
          <w:bCs w:val="1"/>
          <w:rtl w:val="0"/>
        </w:rPr>
        <w:t xml:space="preserve">IP Assignment:</w:t>
      </w:r>
      <w:r w:rsidDel="00000000" w:rsidR="00000000" w:rsidRPr="00000000">
        <w:rPr>
          <w:rtl w:val="0"/>
        </w:rPr>
        <w:t xml:space="preserve"> All employees and consultants must sign Proprietary Information and Invention Assignment Agreements (PIIAA) to ensure the company owns its core assets.</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b w:val="1"/>
          <w:bCs w:val="1"/>
          <w:rtl w:val="0"/>
        </w:rPr>
        <w:t xml:space="preserve">Compliance Thresholds:</w:t>
      </w:r>
      <w:r w:rsidDel="00000000" w:rsidR="00000000" w:rsidRPr="00000000">
        <w:rPr>
          <w:rtl w:val="0"/>
        </w:rPr>
        <w:t xml:space="preserve"> Modern SaaS must prioritize GDPR (European data) and CCPA (California consumer privacy). Non-compliance in 2026 can result in "financial gut-punches."</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5af9ysyd0ja" w:id="16"/>
      <w:bookmarkEnd w:id="16"/>
      <w:r w:rsidDel="00000000" w:rsidR="00000000" w:rsidRPr="00000000">
        <w:rPr>
          <w:b w:val="1"/>
          <w:bCs w:val="1"/>
          <w:sz w:val="34"/>
          <w:szCs w:val="34"/>
          <w:rtl w:val="0"/>
        </w:rPr>
        <w:t xml:space="preserve">6. Authentication and Identity for the AI Era</w:t>
      </w:r>
    </w:p>
    <w:p w:rsidR="00000000" w:rsidDel="00000000" w:rsidP="00000000" w:rsidRDefault="00000000" w:rsidRPr="00000000" w14:paraId="0000005A">
      <w:pPr>
        <w:spacing w:after="240" w:before="240" w:lineRule="auto"/>
        <w:rPr/>
      </w:pPr>
      <w:r w:rsidDel="00000000" w:rsidR="00000000" w:rsidRPr="00000000">
        <w:rPr>
          <w:rtl w:val="0"/>
        </w:rPr>
        <w:t xml:space="preserve">Identity management in 2026 has evolved to support "agentic identity." Auth providers must now secure human logins and AI agents calling APIs autonomously.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8quk8dmma5ds" w:id="17"/>
      <w:bookmarkEnd w:id="17"/>
      <w:r w:rsidDel="00000000" w:rsidR="00000000" w:rsidRPr="00000000">
        <w:rPr>
          <w:b w:val="1"/>
          <w:bCs w:val="1"/>
          <w:color w:val="000000"/>
          <w:sz w:val="26"/>
          <w:szCs w:val="26"/>
          <w:rtl w:val="0"/>
        </w:rPr>
        <w:t xml:space="preserve">Top Provider Analysis (2025–2026)</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b w:val="1"/>
          <w:bCs w:val="1"/>
          <w:rtl w:val="0"/>
        </w:rPr>
        <w:t xml:space="preserve">Kinde:</w:t>
      </w:r>
      <w:r w:rsidDel="00000000" w:rsidR="00000000" w:rsidRPr="00000000">
        <w:rPr>
          <w:rtl w:val="0"/>
        </w:rPr>
        <w:t xml:space="preserve"> Recognized as the overall lead for B2B SaaS, integrating auth with feature flags, multi-tenancy, and billing entitlements in a single SDK.</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Logto:</w:t>
      </w:r>
      <w:r w:rsidDel="00000000" w:rsidR="00000000" w:rsidRPr="00000000">
        <w:rPr>
          <w:rtl w:val="0"/>
        </w:rPr>
        <w:t xml:space="preserve"> Best for developers needing an open-source core with strong M2M (machine-to-machine) and personal access token (PAT) support.</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WorkOS:</w:t>
      </w:r>
      <w:r w:rsidDel="00000000" w:rsidR="00000000" w:rsidRPr="00000000">
        <w:rPr>
          <w:rtl w:val="0"/>
        </w:rPr>
        <w:t xml:space="preserve"> The leader for "enterprise-ready" features, specifically SAML, SCIM, and directory sync for corporate environments.</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b w:val="1"/>
          <w:bCs w:val="1"/>
          <w:rtl w:val="0"/>
        </w:rPr>
        <w:t xml:space="preserve">Auth0 (Okta):</w:t>
      </w:r>
      <w:r w:rsidDel="00000000" w:rsidR="00000000" w:rsidRPr="00000000">
        <w:rPr>
          <w:rtl w:val="0"/>
        </w:rPr>
        <w:t xml:space="preserve"> The default for complex, universal login needs and legacy system integration, though noted for high cost and complexity.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iikyyx8rp4y" w:id="18"/>
      <w:bookmarkEnd w:id="18"/>
      <w:r w:rsidDel="00000000" w:rsidR="00000000" w:rsidRPr="00000000">
        <w:rPr>
          <w:b w:val="1"/>
          <w:bCs w:val="1"/>
          <w:color w:val="000000"/>
          <w:sz w:val="26"/>
          <w:szCs w:val="26"/>
          <w:rtl w:val="0"/>
        </w:rPr>
        <w:t xml:space="preserve">Evaluation Criteria for Auth</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Protocol Coverage:</w:t>
      </w:r>
      <w:r w:rsidDel="00000000" w:rsidR="00000000" w:rsidRPr="00000000">
        <w:rPr>
          <w:rtl w:val="0"/>
        </w:rPr>
        <w:t xml:space="preserve"> Solid OAuth 2.1 and OIDC support.</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M2M Building Blocks:</w:t>
      </w:r>
      <w:r w:rsidDel="00000000" w:rsidR="00000000" w:rsidRPr="00000000">
        <w:rPr>
          <w:rtl w:val="0"/>
        </w:rPr>
        <w:t xml:space="preserve"> Service accounts and short-lived tokens for background jobs.</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b w:val="1"/>
          <w:bCs w:val="1"/>
          <w:rtl w:val="0"/>
        </w:rPr>
        <w:t xml:space="preserve">Tenant Awareness:</w:t>
      </w:r>
      <w:r w:rsidDel="00000000" w:rsidR="00000000" w:rsidRPr="00000000">
        <w:rPr>
          <w:rtl w:val="0"/>
        </w:rPr>
        <w:t xml:space="preserve"> Tokens must carry organization identifiers so agents know which workspace they are acting upon.</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fak6ru0iry8" w:id="19"/>
      <w:bookmarkEnd w:id="19"/>
      <w:r w:rsidDel="00000000" w:rsidR="00000000" w:rsidRPr="00000000">
        <w:rPr>
          <w:b w:val="1"/>
          <w:bCs w:val="1"/>
          <w:sz w:val="34"/>
          <w:szCs w:val="34"/>
          <w:rtl w:val="0"/>
        </w:rPr>
        <w:t xml:space="preserve">7. Critical Pitfalls to Avoid</w:t>
      </w:r>
    </w:p>
    <w:p w:rsidR="00000000" w:rsidDel="00000000" w:rsidP="00000000" w:rsidRDefault="00000000" w:rsidRPr="00000000" w14:paraId="00000066">
      <w:pPr>
        <w:spacing w:after="240" w:before="240" w:lineRule="auto"/>
        <w:rPr/>
      </w:pPr>
      <w:r w:rsidDel="00000000" w:rsidR="00000000" w:rsidRPr="00000000">
        <w:rPr>
          <w:rtl w:val="0"/>
        </w:rPr>
        <w:t xml:space="preserve">Analysis of failed SaaS projects highlights several recurring errors: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Overengineering:</w:t>
      </w:r>
      <w:r w:rsidDel="00000000" w:rsidR="00000000" w:rsidRPr="00000000">
        <w:rPr>
          <w:rtl w:val="0"/>
        </w:rPr>
        <w:t xml:space="preserve"> Building for "Netflix scale" when the user base is under 1,000.</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Ignoring Marketing:</w:t>
      </w:r>
      <w:r w:rsidDel="00000000" w:rsidR="00000000" w:rsidRPr="00000000">
        <w:rPr>
          <w:rtl w:val="0"/>
        </w:rPr>
        <w:t xml:space="preserve"> Developers often spend 100% of their time on code, whereas successful founders recommend a </w:t>
      </w:r>
      <w:r w:rsidDel="00000000" w:rsidR="00000000" w:rsidRPr="00000000">
        <w:rPr>
          <w:b w:val="1"/>
          <w:bCs w:val="1"/>
          <w:rtl w:val="0"/>
        </w:rPr>
        <w:t xml:space="preserve">50% Marketing / 30% Building / 20% Support</w:t>
      </w:r>
      <w:r w:rsidDel="00000000" w:rsidR="00000000" w:rsidRPr="00000000">
        <w:rPr>
          <w:rtl w:val="0"/>
        </w:rPr>
        <w:t xml:space="preserve"> split.</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Free-While-In-Beta Trap:</w:t>
      </w:r>
      <w:r w:rsidDel="00000000" w:rsidR="00000000" w:rsidRPr="00000000">
        <w:rPr>
          <w:rtl w:val="0"/>
        </w:rPr>
        <w:t xml:space="preserve"> Attracts users who will never pay. Advice is to charge from day one to validate the product's actual value.</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b w:val="1"/>
          <w:bCs w:val="1"/>
          <w:rtl w:val="0"/>
        </w:rPr>
        <w:t xml:space="preserve">Hiring Too Soon:</w:t>
      </w:r>
      <w:r w:rsidDel="00000000" w:rsidR="00000000" w:rsidRPr="00000000">
        <w:rPr>
          <w:rtl w:val="0"/>
        </w:rPr>
        <w:t xml:space="preserve"> Drains resources before product-market fit is established. Teams should hire strategically only when bugs or feature requests become unmanageable.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