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left"/>
      </w:pPr>
      <w:r>
        <w:rPr>
          <w:rFonts w:ascii="Calibri" w:cs="Calibri" w:eastAsia="Calibri" w:hAnsi="Calibri"/>
          <w:b/>
          <w:bCs/>
          <w:color w:val="1B3B5F"/>
          <w:sz w:val="40"/>
          <w:szCs w:val="40"/>
        </w:rPr>
        <w:t xml:space="preserve">PUNEET SRIVASTAVA</w:t>
      </w:r>
    </w:p>
    <w:p>
      <w:pPr>
        <w:spacing w:after="100"/>
      </w:pPr>
      <w:r>
        <w:rPr>
          <w:rFonts w:ascii="Calibri" w:cs="Calibri" w:eastAsia="Calibri" w:hAnsi="Calibri"/>
          <w:b/>
          <w:bCs/>
          <w:color w:val="333333"/>
          <w:sz w:val="22"/>
          <w:szCs w:val="22"/>
        </w:rPr>
        <w:t xml:space="preserve">Senior QA Analyst (Functioning as QA Lead) | Cross-Channel Pharma &amp; Diagnostics Digital Media Compliance</w:t>
      </w:r>
    </w:p>
    <w:p>
      <w:pPr>
        <w:spacing w:after="100"/>
      </w:pPr>
      <w:r>
        <w:rPr>
          <w:rFonts w:ascii="Calibri" w:cs="Calibri" w:eastAsia="Calibri" w:hAnsi="Calibri"/>
          <w:color w:val="555555"/>
          <w:sz w:val="18"/>
          <w:szCs w:val="18"/>
        </w:rPr>
        <w:t xml:space="preserve">Noida, Uttar Pradesh, India  |  +91-7007500804  |  srivastavap714@gmail.com  |  linkedin.com/in/puneetsrivastava7  |  github.com/CodexPuneet</w:t>
      </w:r>
    </w:p>
    <w:p>
      <w:pPr>
        <w:pBdr>
          <w:bottom w:val="single" w:color="1B3B5F" w:sz="6" w:space="1"/>
        </w:pBdr>
        <w:spacing w:after="120" w:before="60"/>
      </w:pPr>
    </w:p>
    <w:p>
      <w:pPr>
        <w:pBdr>
          <w:bottom w:val="single" w:color="1B3B5F" w:sz="4" w:space="2"/>
        </w:pBdr>
        <w:spacing w:after="60" w:before="200"/>
      </w:pPr>
      <w:r>
        <w:rPr>
          <w:rFonts w:ascii="Calibri" w:cs="Calibri" w:eastAsia="Calibri" w:hAnsi="Calibri"/>
          <w:b/>
          <w:bCs/>
          <w:color w:val="1B3B5F"/>
          <w:sz w:val="22"/>
          <w:szCs w:val="22"/>
        </w:rPr>
        <w:t xml:space="preserve">PROFESSIONAL SUMMARY</w:t>
      </w:r>
    </w:p>
    <w:p>
      <w:pPr>
        <w:spacing w:after="120"/>
      </w:pPr>
      <w:r>
        <w:rPr>
          <w:rFonts w:ascii="Calibri" w:cs="Calibri" w:eastAsia="Calibri" w:hAnsi="Calibri"/>
          <w:color w:val="333333"/>
          <w:sz w:val="20"/>
          <w:szCs w:val="20"/>
        </w:rPr>
        <w:t xml:space="preserve">Senior QA Analyst with 3+ years leading cross-channel Quality Assurance for regulated pharmaceutical and diagnostics digital media campaigns, functioning as QA Lead since Jul 2025. Progressed from QA Analyst (GSK) to Senior QA (Johnson &amp; Johnson/Janssen) to de facto QA Lead (Roche), leading a team of ~12 QA resources reviewing 430+ digital assets/month with zero escalations and zero external bugs over 12+ consecutive months. Built three QA automation tools (Video QC, Banner QC, Email QC) and a centralized QA tracking hub, cutting manual review time by an estimated 30%+ and expanding team bandwidth. Currently leading the pilot onboarding of the Roche Diagnostics account (CGM digital media), building the compliance QA framework from the ground up. Skilled in Veeva Vault, SFMC, AEM, and regulatory/compliance-driven QA processes.</w:t>
      </w:r>
    </w:p>
    <w:p>
      <w:pPr>
        <w:pBdr>
          <w:bottom w:val="single" w:color="1B3B5F" w:sz="4" w:space="2"/>
        </w:pBdr>
        <w:spacing w:after="60" w:before="200"/>
      </w:pPr>
      <w:r>
        <w:rPr>
          <w:rFonts w:ascii="Calibri" w:cs="Calibri" w:eastAsia="Calibri" w:hAnsi="Calibri"/>
          <w:b/>
          <w:bCs/>
          <w:color w:val="1B3B5F"/>
          <w:sz w:val="22"/>
          <w:szCs w:val="22"/>
        </w:rPr>
        <w:t xml:space="preserve">CORE SKILLS</w:t>
      </w:r>
    </w:p>
    <w:p>
      <w:pPr>
        <w:spacing w:after="40"/>
      </w:pPr>
      <w:r>
        <w:rPr>
          <w:rFonts w:ascii="Calibri" w:cs="Calibri" w:eastAsia="Calibri" w:hAnsi="Calibri"/>
          <w:b/>
          <w:bCs/>
          <w:color w:val="333333"/>
          <w:sz w:val="20"/>
          <w:szCs w:val="20"/>
        </w:rPr>
        <w:t xml:space="preserve">QA Leadership &amp; Strategy: </w:t>
      </w:r>
      <w:r>
        <w:rPr>
          <w:rFonts w:ascii="Calibri" w:cs="Calibri" w:eastAsia="Calibri" w:hAnsi="Calibri"/>
          <w:color w:val="333333"/>
          <w:sz w:val="20"/>
          <w:szCs w:val="20"/>
        </w:rPr>
        <w:t xml:space="preserve">Cross-Channel QA · Pharma Regulatory Compliance QA · Team Leadership · QA Framework Design · Process Automation · Defect Management · Client &amp; Stakeholder Management</w:t>
      </w:r>
    </w:p>
    <w:p>
      <w:pPr>
        <w:spacing w:after="40"/>
      </w:pPr>
      <w:r>
        <w:rPr>
          <w:rFonts w:ascii="Calibri" w:cs="Calibri" w:eastAsia="Calibri" w:hAnsi="Calibri"/>
          <w:b/>
          <w:bCs/>
          <w:color w:val="333333"/>
          <w:sz w:val="20"/>
          <w:szCs w:val="20"/>
        </w:rPr>
        <w:t xml:space="preserve">Tools &amp; Platforms: </w:t>
      </w:r>
      <w:r>
        <w:rPr>
          <w:rFonts w:ascii="Calibri" w:cs="Calibri" w:eastAsia="Calibri" w:hAnsi="Calibri"/>
          <w:color w:val="333333"/>
          <w:sz w:val="20"/>
          <w:szCs w:val="20"/>
        </w:rPr>
        <w:t xml:space="preserve">Veeva Vault · Salesforce Marketing Cloud (SFMC) · Adobe Experience Manager (AEM) · Viseven · eWizard · OCE-D · OCE-P · Adobe Photoshop · Jira · Git/GitHub</w:t>
      </w:r>
    </w:p>
    <w:p>
      <w:pPr>
        <w:spacing w:after="100"/>
      </w:pPr>
      <w:r>
        <w:rPr>
          <w:rFonts w:ascii="Calibri" w:cs="Calibri" w:eastAsia="Calibri" w:hAnsi="Calibri"/>
          <w:b/>
          <w:bCs/>
          <w:color w:val="333333"/>
          <w:sz w:val="20"/>
          <w:szCs w:val="20"/>
        </w:rPr>
        <w:t xml:space="preserve">Channels Covered: </w:t>
      </w:r>
      <w:r>
        <w:rPr>
          <w:rFonts w:ascii="Calibri" w:cs="Calibri" w:eastAsia="Calibri" w:hAnsi="Calibri"/>
          <w:color w:val="333333"/>
          <w:sz w:val="20"/>
          <w:szCs w:val="20"/>
        </w:rPr>
        <w:t xml:space="preserve">EDA · Email · Banner · Print · iPDF · AEM Websites &amp; Landing Pages · Programmatic · Paid Social</w:t>
      </w:r>
    </w:p>
    <w:p>
      <w:pPr>
        <w:pBdr>
          <w:bottom w:val="single" w:color="1B3B5F" w:sz="4" w:space="2"/>
        </w:pBdr>
        <w:spacing w:after="60" w:before="200"/>
      </w:pPr>
      <w:r>
        <w:rPr>
          <w:rFonts w:ascii="Calibri" w:cs="Calibri" w:eastAsia="Calibri" w:hAnsi="Calibri"/>
          <w:b/>
          <w:bCs/>
          <w:color w:val="1B3B5F"/>
          <w:sz w:val="22"/>
          <w:szCs w:val="22"/>
        </w:rPr>
        <w:t xml:space="preserve">PROFESSIONAL EXPERIENCE</w:t>
      </w:r>
    </w:p>
    <w:p>
      <w:pPr>
        <w:spacing w:after="20" w:before="60"/>
      </w:pPr>
      <w:r>
        <w:rPr>
          <w:rFonts w:ascii="Calibri" w:cs="Calibri" w:eastAsia="Calibri" w:hAnsi="Calibri"/>
          <w:b/>
          <w:bCs/>
          <w:color w:val="1B3B5F"/>
          <w:sz w:val="21"/>
          <w:szCs w:val="21"/>
        </w:rPr>
        <w:t xml:space="preserve">WPP Production India (formerly Hogarth Studios India, formerly Wunderman Thompson Studios) — Gurugram, India</w:t>
      </w:r>
    </w:p>
    <w:p>
      <w:pPr>
        <w:spacing w:after="100"/>
      </w:pPr>
      <w:r>
        <w:rPr>
          <w:rFonts w:ascii="Calibri" w:cs="Calibri" w:eastAsia="Calibri" w:hAnsi="Calibri"/>
          <w:i/>
          <w:iCs/>
          <w:color w:val="555555"/>
          <w:sz w:val="19"/>
          <w:szCs w:val="19"/>
        </w:rPr>
        <w:t xml:space="preserve">Oct 2023 – Present</w:t>
      </w:r>
    </w:p>
    <w:p>
      <w:pPr>
        <w:tabs>
          <w:tab w:val="right" w:pos="9360"/>
        </w:tabs>
        <w:spacing w:after="20" w:before="160"/>
      </w:pPr>
      <w:r>
        <w:rPr>
          <w:rFonts w:ascii="Calibri" w:cs="Calibri" w:eastAsia="Calibri" w:hAnsi="Calibri"/>
          <w:b/>
          <w:bCs/>
          <w:color w:val="1B3B5F"/>
          <w:sz w:val="21"/>
          <w:szCs w:val="21"/>
        </w:rPr>
        <w:t xml:space="preserve">Senior QA Analyst (Functioning as QA Lead) — Roche Diagnostics Onboarding (Pilot)</w:t>
      </w:r>
      <w:r>
        <w:rPr>
          <w:rFonts w:ascii="Calibri" w:cs="Calibri" w:eastAsia="Calibri" w:hAnsi="Calibri"/>
          <w:b w:val="false"/>
          <w:bCs w:val="false"/>
          <w:i/>
          <w:iCs/>
          <w:color w:val="555555"/>
          <w:sz w:val="19"/>
          <w:szCs w:val="19"/>
        </w:rPr>
        <w:t xml:space="preserve">	May 2026 – Present</w:t>
      </w:r>
    </w:p>
    <w:p>
      <w:pPr>
        <w:pStyle w:val="ListParagraph"/>
        <w:numPr>
          <w:ilvl w:val="0"/>
          <w:numId w:val="1"/>
        </w:numPr>
        <w:spacing w:after="60"/>
      </w:pPr>
      <w:r>
        <w:rPr>
          <w:rFonts w:ascii="Calibri" w:cs="Calibri" w:eastAsia="Calibri" w:hAnsi="Calibri"/>
          <w:color w:val="333333"/>
          <w:sz w:val="20"/>
          <w:szCs w:val="20"/>
        </w:rPr>
        <w:t xml:space="preserve">Leading pilot onboarding of the Roche Diagnostics account, building the end-to-end QA compliance framework for CGM (Continuous Glucose Monitoring) digital media assets from the ground up.</w:t>
      </w:r>
    </w:p>
    <w:p>
      <w:pPr>
        <w:pStyle w:val="ListParagraph"/>
        <w:numPr>
          <w:ilvl w:val="0"/>
          <w:numId w:val="1"/>
        </w:numPr>
        <w:spacing w:after="60"/>
      </w:pPr>
      <w:r>
        <w:rPr>
          <w:rFonts w:ascii="Calibri" w:cs="Calibri" w:eastAsia="Calibri" w:hAnsi="Calibri"/>
          <w:color w:val="333333"/>
          <w:sz w:val="20"/>
          <w:szCs w:val="20"/>
        </w:rPr>
        <w:t xml:space="preserve">Designing a 3-layer QA framework — global standards, channel-specific validation, and delivery/compliance sign-off — covering 7+ digital channels.</w:t>
      </w:r>
    </w:p>
    <w:p>
      <w:pPr>
        <w:pStyle w:val="ListParagraph"/>
        <w:numPr>
          <w:ilvl w:val="0"/>
          <w:numId w:val="1"/>
        </w:numPr>
        <w:spacing w:after="60"/>
      </w:pPr>
      <w:r>
        <w:rPr>
          <w:rFonts w:ascii="Calibri" w:cs="Calibri" w:eastAsia="Calibri" w:hAnsi="Calibri"/>
          <w:color w:val="333333"/>
          <w:sz w:val="20"/>
          <w:szCs w:val="20"/>
        </w:rPr>
        <w:t xml:space="preserve">Established naming convention standards, audio compliance benchmarks (EBU R128), and funnel-stage CTA validation logic for the new account onboarding.</w:t>
      </w:r>
    </w:p>
    <w:p>
      <w:pPr>
        <w:tabs>
          <w:tab w:val="right" w:pos="9360"/>
        </w:tabs>
        <w:spacing w:after="20" w:before="160"/>
      </w:pPr>
      <w:r>
        <w:rPr>
          <w:rFonts w:ascii="Calibri" w:cs="Calibri" w:eastAsia="Calibri" w:hAnsi="Calibri"/>
          <w:b/>
          <w:bCs/>
          <w:color w:val="1B3B5F"/>
          <w:sz w:val="21"/>
          <w:szCs w:val="21"/>
        </w:rPr>
        <w:t xml:space="preserve">Senior QA Analyst (Functioning as QA Lead) — Roche Pharma Account</w:t>
      </w:r>
      <w:r>
        <w:rPr>
          <w:rFonts w:ascii="Calibri" w:cs="Calibri" w:eastAsia="Calibri" w:hAnsi="Calibri"/>
          <w:b w:val="false"/>
          <w:bCs w:val="false"/>
          <w:i/>
          <w:iCs/>
          <w:color w:val="555555"/>
          <w:sz w:val="19"/>
          <w:szCs w:val="19"/>
        </w:rPr>
        <w:t xml:space="preserve">	Jul 2025 – May 2026</w:t>
      </w:r>
    </w:p>
    <w:p>
      <w:pPr>
        <w:pStyle w:val="ListParagraph"/>
        <w:numPr>
          <w:ilvl w:val="0"/>
          <w:numId w:val="1"/>
        </w:numPr>
        <w:spacing w:after="60"/>
      </w:pPr>
      <w:r>
        <w:rPr>
          <w:rFonts w:ascii="Calibri" w:cs="Calibri" w:eastAsia="Calibri" w:hAnsi="Calibri"/>
          <w:color w:val="333333"/>
          <w:sz w:val="20"/>
          <w:szCs w:val="20"/>
        </w:rPr>
        <w:t xml:space="preserve">Onboarded the Roche pharma account and was entrusted with de facto QA Lead responsibilities to prove readiness for the role; stabilized operations within approximately 3 months, transitioning from pilot to steady-state with zero critical defects.</w:t>
      </w:r>
    </w:p>
    <w:p>
      <w:pPr>
        <w:pStyle w:val="ListParagraph"/>
        <w:numPr>
          <w:ilvl w:val="0"/>
          <w:numId w:val="1"/>
        </w:numPr>
        <w:spacing w:after="60"/>
      </w:pPr>
      <w:r>
        <w:rPr>
          <w:rFonts w:ascii="Calibri" w:cs="Calibri" w:eastAsia="Calibri" w:hAnsi="Calibri"/>
          <w:color w:val="333333"/>
          <w:sz w:val="20"/>
          <w:szCs w:val="20"/>
        </w:rPr>
        <w:t xml:space="preserve">Led a QA team of ~12 resources across 7+ channels (EDA, Email, Banner, Print, iPDF, AEM, Landing Pages), reviewing 430+ digital assets/month, sustaining zero escalations and zero external bugs over 12+ consecutive months.</w:t>
      </w:r>
    </w:p>
    <w:p>
      <w:pPr>
        <w:pStyle w:val="ListParagraph"/>
        <w:numPr>
          <w:ilvl w:val="0"/>
          <w:numId w:val="1"/>
        </w:numPr>
        <w:spacing w:after="60"/>
      </w:pPr>
      <w:r>
        <w:rPr>
          <w:rFonts w:ascii="Calibri" w:cs="Calibri" w:eastAsia="Calibri" w:hAnsi="Calibri"/>
          <w:color w:val="333333"/>
          <w:sz w:val="20"/>
          <w:szCs w:val="20"/>
        </w:rPr>
        <w:t xml:space="preserve">Designed and built three QA automation tools — a Video QC tool, a Banner QC tool, and an Email QC tool — reducing manual review time by an estimated 30%+ and increasing team bandwidth.</w:t>
      </w:r>
    </w:p>
    <w:p>
      <w:pPr>
        <w:pStyle w:val="ListParagraph"/>
        <w:numPr>
          <w:ilvl w:val="0"/>
          <w:numId w:val="1"/>
        </w:numPr>
        <w:spacing w:after="60"/>
      </w:pPr>
      <w:r>
        <w:rPr>
          <w:rFonts w:ascii="Calibri" w:cs="Calibri" w:eastAsia="Calibri" w:hAnsi="Calibri"/>
          <w:color w:val="333333"/>
          <w:sz w:val="20"/>
          <w:szCs w:val="20"/>
        </w:rPr>
        <w:t xml:space="preserve">Built a centralized QA Hub for tracking, reporting, task assignment, and KPI monitoring across the team, improving delivery visibility and predictability for stakeholders.</w:t>
      </w:r>
    </w:p>
    <w:p>
      <w:pPr>
        <w:tabs>
          <w:tab w:val="right" w:pos="9360"/>
        </w:tabs>
        <w:spacing w:after="20" w:before="160"/>
      </w:pPr>
      <w:r>
        <w:rPr>
          <w:rFonts w:ascii="Calibri" w:cs="Calibri" w:eastAsia="Calibri" w:hAnsi="Calibri"/>
          <w:b/>
          <w:bCs/>
          <w:color w:val="1B3B5F"/>
          <w:sz w:val="21"/>
          <w:szCs w:val="21"/>
        </w:rPr>
        <w:t xml:space="preserve">Senior QA Analyst — Johnson &amp; Johnson (Janssen) Account</w:t>
      </w:r>
      <w:r>
        <w:rPr>
          <w:rFonts w:ascii="Calibri" w:cs="Calibri" w:eastAsia="Calibri" w:hAnsi="Calibri"/>
          <w:b w:val="false"/>
          <w:bCs w:val="false"/>
          <w:i/>
          <w:iCs/>
          <w:color w:val="555555"/>
          <w:sz w:val="19"/>
          <w:szCs w:val="19"/>
        </w:rPr>
        <w:t xml:space="preserve">	Jul 2024 – Jul 2025</w:t>
      </w:r>
    </w:p>
    <w:p>
      <w:pPr>
        <w:pStyle w:val="ListParagraph"/>
        <w:numPr>
          <w:ilvl w:val="0"/>
          <w:numId w:val="1"/>
        </w:numPr>
        <w:spacing w:after="60"/>
      </w:pPr>
      <w:r>
        <w:rPr>
          <w:rFonts w:ascii="Calibri" w:cs="Calibri" w:eastAsia="Calibri" w:hAnsi="Calibri"/>
          <w:color w:val="333333"/>
          <w:sz w:val="20"/>
          <w:szCs w:val="20"/>
        </w:rPr>
        <w:t xml:space="preserve">Promoted to Senior QA after strong performance on the GSK account; owned quality assurance for Johnson &amp; Johnson's (Janssen) cross-channel digital campaigns.</w:t>
      </w:r>
    </w:p>
    <w:p>
      <w:pPr>
        <w:pStyle w:val="ListParagraph"/>
        <w:numPr>
          <w:ilvl w:val="0"/>
          <w:numId w:val="1"/>
        </w:numPr>
        <w:spacing w:after="60"/>
      </w:pPr>
      <w:r>
        <w:rPr>
          <w:rFonts w:ascii="Calibri" w:cs="Calibri" w:eastAsia="Calibri" w:hAnsi="Calibri"/>
          <w:color w:val="333333"/>
          <w:sz w:val="20"/>
          <w:szCs w:val="20"/>
        </w:rPr>
        <w:t xml:space="preserve">Validated omnichannel campaign assets for accuracy, regulatory compliance, and brand consistency across email, banner, and web channels.</w:t>
      </w:r>
    </w:p>
    <w:p>
      <w:pPr>
        <w:pStyle w:val="ListParagraph"/>
        <w:numPr>
          <w:ilvl w:val="0"/>
          <w:numId w:val="1"/>
        </w:numPr>
        <w:spacing w:after="60"/>
      </w:pPr>
      <w:r>
        <w:rPr>
          <w:rFonts w:ascii="Calibri" w:cs="Calibri" w:eastAsia="Calibri" w:hAnsi="Calibri"/>
          <w:color w:val="333333"/>
          <w:sz w:val="20"/>
          <w:szCs w:val="20"/>
        </w:rPr>
        <w:t xml:space="preserve">Partnered with global creative and development teams using Veeva Vault, SFMC, and AEM to identify, document, and resolve defects pre-delivery.</w:t>
      </w:r>
    </w:p>
    <w:p>
      <w:pPr>
        <w:tabs>
          <w:tab w:val="right" w:pos="9360"/>
        </w:tabs>
        <w:spacing w:after="20" w:before="160"/>
      </w:pPr>
      <w:r>
        <w:rPr>
          <w:rFonts w:ascii="Calibri" w:cs="Calibri" w:eastAsia="Calibri" w:hAnsi="Calibri"/>
          <w:b/>
          <w:bCs/>
          <w:color w:val="1B3B5F"/>
          <w:sz w:val="21"/>
          <w:szCs w:val="21"/>
        </w:rPr>
        <w:t xml:space="preserve">QA Analyst — GSK Account</w:t>
      </w:r>
      <w:r>
        <w:rPr>
          <w:rFonts w:ascii="Calibri" w:cs="Calibri" w:eastAsia="Calibri" w:hAnsi="Calibri"/>
          <w:b w:val="false"/>
          <w:bCs w:val="false"/>
          <w:i/>
          <w:iCs/>
          <w:color w:val="555555"/>
          <w:sz w:val="19"/>
          <w:szCs w:val="19"/>
        </w:rPr>
        <w:t xml:space="preserve">	Oct 2023 – Jul 2024</w:t>
      </w:r>
    </w:p>
    <w:p>
      <w:pPr>
        <w:pStyle w:val="ListParagraph"/>
        <w:numPr>
          <w:ilvl w:val="0"/>
          <w:numId w:val="1"/>
        </w:numPr>
        <w:spacing w:after="60"/>
      </w:pPr>
      <w:r>
        <w:rPr>
          <w:rFonts w:ascii="Calibri" w:cs="Calibri" w:eastAsia="Calibri" w:hAnsi="Calibri"/>
          <w:color w:val="333333"/>
          <w:sz w:val="20"/>
          <w:szCs w:val="20"/>
        </w:rPr>
        <w:t xml:space="preserve">Started career in regulated pharma digital media QA, performing quality assurance across 7+ channels including EDA, Email, Banner, Print, and AEM-hosted assets for GSK.</w:t>
      </w:r>
    </w:p>
    <w:p>
      <w:pPr>
        <w:pStyle w:val="ListParagraph"/>
        <w:numPr>
          <w:ilvl w:val="0"/>
          <w:numId w:val="1"/>
        </w:numPr>
        <w:spacing w:after="60"/>
      </w:pPr>
      <w:r>
        <w:rPr>
          <w:rFonts w:ascii="Calibri" w:cs="Calibri" w:eastAsia="Calibri" w:hAnsi="Calibri"/>
          <w:color w:val="333333"/>
          <w:sz w:val="20"/>
          <w:szCs w:val="20"/>
        </w:rPr>
        <w:t xml:space="preserve">Designed and executed test plans, test cases, and test scenarios; performed manual, unit, and system testing across multiple concurrent projects.</w:t>
      </w:r>
    </w:p>
    <w:p>
      <w:pPr>
        <w:pStyle w:val="ListParagraph"/>
        <w:numPr>
          <w:ilvl w:val="0"/>
          <w:numId w:val="1"/>
        </w:numPr>
        <w:spacing w:after="60"/>
      </w:pPr>
      <w:r>
        <w:rPr>
          <w:rFonts w:ascii="Calibri" w:cs="Calibri" w:eastAsia="Calibri" w:hAnsi="Calibri"/>
          <w:color w:val="333333"/>
          <w:sz w:val="20"/>
          <w:szCs w:val="20"/>
        </w:rPr>
        <w:t xml:space="preserve">Documented QA processes and defect reports, ensuring compliance with client and industry standards ahead of every delivery.</w:t>
      </w:r>
    </w:p>
    <w:p>
      <w:pPr>
        <w:pBdr>
          <w:bottom w:val="single" w:color="1B3B5F" w:sz="4" w:space="2"/>
        </w:pBdr>
        <w:spacing w:after="60" w:before="200"/>
      </w:pPr>
      <w:r>
        <w:rPr>
          <w:rFonts w:ascii="Calibri" w:cs="Calibri" w:eastAsia="Calibri" w:hAnsi="Calibri"/>
          <w:b/>
          <w:bCs/>
          <w:color w:val="1B3B5F"/>
          <w:sz w:val="22"/>
          <w:szCs w:val="22"/>
        </w:rPr>
        <w:t xml:space="preserve">EARLIER EXPERIENCE</w:t>
      </w:r>
    </w:p>
    <w:p>
      <w:pPr>
        <w:spacing w:after="40"/>
      </w:pPr>
      <w:r>
        <w:rPr>
          <w:rFonts w:ascii="Calibri" w:cs="Calibri" w:eastAsia="Calibri" w:hAnsi="Calibri"/>
          <w:b/>
          <w:bCs/>
          <w:color w:val="333333"/>
          <w:sz w:val="19"/>
          <w:szCs w:val="19"/>
        </w:rPr>
        <w:t xml:space="preserve">Full Stack Developer — Hypothesize, Remote  </w:t>
      </w:r>
      <w:r>
        <w:rPr>
          <w:rFonts w:ascii="Calibri" w:cs="Calibri" w:eastAsia="Calibri" w:hAnsi="Calibri"/>
          <w:color w:val="555555"/>
          <w:sz w:val="19"/>
          <w:szCs w:val="19"/>
        </w:rPr>
        <w:t xml:space="preserve">(Feb 2023 – Apr 2023): Developed end-to-end web applications using React.js, Redux, and TypeScript.</w:t>
      </w:r>
    </w:p>
    <w:p>
      <w:pPr>
        <w:spacing w:after="40"/>
      </w:pPr>
      <w:r>
        <w:rPr>
          <w:rFonts w:ascii="Calibri" w:cs="Calibri" w:eastAsia="Calibri" w:hAnsi="Calibri"/>
          <w:b/>
          <w:bCs/>
          <w:color w:val="333333"/>
          <w:sz w:val="19"/>
          <w:szCs w:val="19"/>
        </w:rPr>
        <w:t xml:space="preserve">Frontend Developer — Actas Technology Pvt Ltd (PayMonk), Noida  </w:t>
      </w:r>
      <w:r>
        <w:rPr>
          <w:rFonts w:ascii="Calibri" w:cs="Calibri" w:eastAsia="Calibri" w:hAnsi="Calibri"/>
          <w:color w:val="555555"/>
          <w:sz w:val="19"/>
          <w:szCs w:val="19"/>
        </w:rPr>
        <w:t xml:space="preserve">(Apr 2023 – Sep 2023): Built responsive fintech web interfaces using React, Redux, and ChakraUI.</w:t>
      </w:r>
    </w:p>
    <w:p>
      <w:pPr>
        <w:spacing w:after="100"/>
      </w:pPr>
      <w:r>
        <w:rPr>
          <w:rFonts w:ascii="Calibri" w:cs="Calibri" w:eastAsia="Calibri" w:hAnsi="Calibri"/>
          <w:b/>
          <w:bCs/>
          <w:color w:val="333333"/>
          <w:sz w:val="19"/>
          <w:szCs w:val="19"/>
        </w:rPr>
        <w:t xml:space="preserve">Maintenance Engineer — Genone Optech Pvt Ltd, Greater Noida  </w:t>
      </w:r>
      <w:r>
        <w:rPr>
          <w:rFonts w:ascii="Calibri" w:cs="Calibri" w:eastAsia="Calibri" w:hAnsi="Calibri"/>
          <w:color w:val="555555"/>
          <w:sz w:val="19"/>
          <w:szCs w:val="19"/>
        </w:rPr>
        <w:t xml:space="preserve">(Aug 2021 – Apr 2022): Managed production line calibration, quality checks, and preventive maintenance.</w:t>
      </w:r>
    </w:p>
    <w:p>
      <w:pPr>
        <w:pBdr>
          <w:bottom w:val="single" w:color="1B3B5F" w:sz="4" w:space="2"/>
        </w:pBdr>
        <w:spacing w:after="60" w:before="200"/>
      </w:pPr>
      <w:r>
        <w:rPr>
          <w:rFonts w:ascii="Calibri" w:cs="Calibri" w:eastAsia="Calibri" w:hAnsi="Calibri"/>
          <w:b/>
          <w:bCs/>
          <w:color w:val="1B3B5F"/>
          <w:sz w:val="22"/>
          <w:szCs w:val="22"/>
        </w:rPr>
        <w:t xml:space="preserve">EDUCATION</w:t>
      </w:r>
    </w:p>
    <w:p>
      <w:pPr>
        <w:spacing w:after="20"/>
      </w:pPr>
      <w:r>
        <w:rPr>
          <w:rFonts w:ascii="Calibri" w:cs="Calibri" w:eastAsia="Calibri" w:hAnsi="Calibri"/>
          <w:b/>
          <w:bCs/>
          <w:color w:val="333333"/>
          <w:sz w:val="20"/>
          <w:szCs w:val="20"/>
        </w:rPr>
        <w:t xml:space="preserve">Full-Stack Web Development — Masai School, Bengaluru</w:t>
      </w:r>
    </w:p>
    <w:p>
      <w:pPr>
        <w:spacing w:after="80"/>
      </w:pPr>
      <w:r>
        <w:rPr>
          <w:rFonts w:ascii="Calibri" w:cs="Calibri" w:eastAsia="Calibri" w:hAnsi="Calibri"/>
          <w:i/>
          <w:iCs/>
          <w:color w:val="555555"/>
          <w:sz w:val="18"/>
          <w:szCs w:val="18"/>
        </w:rPr>
        <w:t xml:space="preserve">May 2022 – Feb 2023</w:t>
      </w:r>
    </w:p>
    <w:p>
      <w:pPr>
        <w:spacing w:after="20"/>
      </w:pPr>
      <w:r>
        <w:rPr>
          <w:rFonts w:ascii="Calibri" w:cs="Calibri" w:eastAsia="Calibri" w:hAnsi="Calibri"/>
          <w:b/>
          <w:bCs/>
          <w:color w:val="333333"/>
          <w:sz w:val="20"/>
          <w:szCs w:val="20"/>
        </w:rPr>
        <w:t xml:space="preserve">B.Tech, Electronics &amp; Communication Engineering — G.L. Bajaj Institute of Technology &amp; Management, Greater Noida</w:t>
      </w:r>
    </w:p>
    <w:p>
      <w:pPr>
        <w:spacing w:after="100"/>
      </w:pPr>
      <w:r>
        <w:rPr>
          <w:rFonts w:ascii="Calibri" w:cs="Calibri" w:eastAsia="Calibri" w:hAnsi="Calibri"/>
          <w:i/>
          <w:iCs/>
          <w:color w:val="555555"/>
          <w:sz w:val="18"/>
          <w:szCs w:val="18"/>
        </w:rPr>
        <w:t xml:space="preserve">Aug 2017 – Jul 2021</w:t>
      </w:r>
    </w:p>
    <w:p>
      <w:pPr>
        <w:pBdr>
          <w:bottom w:val="single" w:color="1B3B5F" w:sz="4" w:space="2"/>
        </w:pBdr>
        <w:spacing w:after="60" w:before="200"/>
      </w:pPr>
      <w:r>
        <w:rPr>
          <w:rFonts w:ascii="Calibri" w:cs="Calibri" w:eastAsia="Calibri" w:hAnsi="Calibri"/>
          <w:b/>
          <w:bCs/>
          <w:color w:val="1B3B5F"/>
          <w:sz w:val="22"/>
          <w:szCs w:val="22"/>
        </w:rPr>
        <w:t xml:space="preserve">CERTIFICATIONS</w:t>
      </w:r>
    </w:p>
    <w:p>
      <w:pPr>
        <w:pStyle w:val="ListParagraph"/>
        <w:numPr>
          <w:ilvl w:val="0"/>
          <w:numId w:val="1"/>
        </w:numPr>
        <w:spacing w:after="60"/>
      </w:pPr>
      <w:r>
        <w:rPr>
          <w:rFonts w:ascii="Calibri" w:cs="Calibri" w:eastAsia="Calibri" w:hAnsi="Calibri"/>
          <w:color w:val="333333"/>
          <w:sz w:val="20"/>
          <w:szCs w:val="20"/>
        </w:rPr>
        <w:t xml:space="preserve">PPC Best Practice</w:t>
      </w:r>
    </w:p>
    <w:p>
      <w:pPr>
        <w:pStyle w:val="ListParagraph"/>
        <w:numPr>
          <w:ilvl w:val="0"/>
          <w:numId w:val="1"/>
        </w:numPr>
        <w:spacing w:after="60"/>
      </w:pPr>
      <w:r>
        <w:rPr>
          <w:rFonts w:ascii="Calibri" w:cs="Calibri" w:eastAsia="Calibri" w:hAnsi="Calibri"/>
          <w:color w:val="333333"/>
          <w:sz w:val="20"/>
          <w:szCs w:val="20"/>
        </w:rPr>
        <w:t xml:space="preserve">Performance Marketing Essentials</w:t>
      </w:r>
    </w:p>
    <w:p>
      <w:pPr>
        <w:pStyle w:val="ListParagraph"/>
        <w:numPr>
          <w:ilvl w:val="0"/>
          <w:numId w:val="1"/>
        </w:numPr>
        <w:spacing w:after="60"/>
      </w:pPr>
      <w:r>
        <w:rPr>
          <w:rFonts w:ascii="Calibri" w:cs="Calibri" w:eastAsia="Calibri" w:hAnsi="Calibri"/>
          <w:color w:val="333333"/>
          <w:sz w:val="20"/>
          <w:szCs w:val="20"/>
        </w:rPr>
        <w:t xml:space="preserve">Marketing Automation</w:t>
      </w:r>
    </w:p>
    <w:p>
      <w:pPr>
        <w:pStyle w:val="ListParagraph"/>
        <w:numPr>
          <w:ilvl w:val="0"/>
          <w:numId w:val="1"/>
        </w:numPr>
        <w:spacing w:after="60"/>
      </w:pPr>
      <w:r>
        <w:rPr>
          <w:rFonts w:ascii="Calibri" w:cs="Calibri" w:eastAsia="Calibri" w:hAnsi="Calibri"/>
          <w:color w:val="333333"/>
          <w:sz w:val="20"/>
          <w:szCs w:val="20"/>
        </w:rPr>
        <w:t xml:space="preserve">AI for Content Best Practice</w:t>
      </w:r>
    </w:p>
    <w:p>
      <w:pPr>
        <w:pStyle w:val="ListParagraph"/>
        <w:numPr>
          <w:ilvl w:val="0"/>
          <w:numId w:val="1"/>
        </w:numPr>
        <w:spacing w:after="60"/>
      </w:pPr>
      <w:r>
        <w:rPr>
          <w:rFonts w:ascii="Calibri" w:cs="Calibri" w:eastAsia="Calibri" w:hAnsi="Calibri"/>
          <w:color w:val="333333"/>
          <w:sz w:val="20"/>
          <w:szCs w:val="20"/>
        </w:rPr>
        <w:t xml:space="preserve">AI Trends</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2026-07-09T11:40:08.850Z</dcterms:created>
  <dcterms:modified xsi:type="dcterms:W3CDTF">2026-07-09T11:40:08.861Z</dcterms:modified>
</cp:coreProperties>
</file>

<file path=docProps/custom.xml><?xml version="1.0" encoding="utf-8"?>
<Properties xmlns="http://schemas.openxmlformats.org/officeDocument/2006/custom-properties" xmlns:vt="http://schemas.openxmlformats.org/officeDocument/2006/docPropsVTypes"/>
</file>