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HIGH-ALTITUDE PERFORMANCE OPTIMIZATION OF AN ANTI-DRONE RADAR SYSTEM</w:t>
      </w:r>
    </w:p>
    <w:p>
      <w:pPr>
        <w:spacing w:after="1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Hardware and Software Hardening for Detection, Pointing and Reliability Above 3,000m ASL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Team Vayu | SIH 2026, Problem Statement 26050 | Theme: Robotics &amp; Drone | Category: Hardware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All performance figures in this paper are derived from the simulations and models described in Section 7 and Appendix A. None are field-measured; each is reproducible from the stated assumptions.</w:t>
      </w:r>
    </w:p>
    <w:p>
      <w:pPr>
        <w:pStyle w:val="Heading1"/>
        <w:spacing w:after="100" w:before="220"/>
      </w:pPr>
      <w:r>
        <w:t xml:space="preserve">Abstract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Problem Statement 26050 asks not for a new drone-detection principle but for a robust, high-altitude-capable redesign of an anti-drone system already defined by Indian procurement specifications (BSF QR 2019; MHA/BSF Letter 2025). Deployed above 3,000m ASL, such a system faces four compounding stressors — cold-soak to −40°C, ~40% lower air density, wind gusts to 45 m/s, and cosmic-ray-elevated component stress — that a sea-level-rated design does not budget for. This paper presents Team Vayu's response: a hardware hardening layer (enclosure, battery chemistry, bearings, semiconductor derating) paired with a software/control hardening layer (disturbance-observer pointing control, altitude-aware sensor fusion) applied to a conventional radar+RF+EO/IR detection stack. Six parameters — pointing accuracy, battery capacity retention, bearing startup torque, system MTTF, detection range and per-unit lifecycle cost — are quantified through first-principles simulation rather than assumed. The pointing loop shows a 69.3% RMS error reduction under a modelled 45 m/s gust; system MTTF improves by 211% under a component-level reliability model; and despite a 156% higher upfront bill of materials, 5-year lifecycle cost falls by 16.1% once reduced field-service failures are accounted for. Every model's assumptions are stated explicitly, every script that produces a number is version-controlled and can be re-run, and the cost model is wired to pull its MTTF input directly from the reliability model rather than a copy-pasted figure — so the result can be checked and kept consistent, not just cited.</w:t>
      </w:r>
    </w:p>
    <w:p>
      <w:pPr>
        <w:pStyle w:val="Heading1"/>
        <w:spacing w:after="100" w:before="220"/>
      </w:pPr>
      <w:r>
        <w:t xml:space="preserve">1. Why This Problem — Rationale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India's high-altitude border terrain (Ladakh-class, 3,000–5,000m ASL) sees escalating unauthorised drone activity, and the BSF's own 2019 and 2025 procurement documents already specify what a ground-level anti-drone system must detect, track and neutralise. What they do not specify is how that system keeps working when the ambient temperature is −40°C, the air is 40% thinner, and gusts regularly exceed 45 m/s — conditions common at altitude but absent from the sea-level test regime most COTS anti-drone hardware is qualified against. A system that meets QR2019 in a plains trial can still fail in the field at altitude through mechanisms procurement paperwork doesn't test for: battery capacity collapse, bearing seizure, gimbal pointing drift, or semiconductor burnout — not through a detection-algorithm shortfall.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This is why PS 26050 frames the ask as "performance optimization and robust design," not new detection R&amp;D — and why this paper's contribution is engineering, not invention.</w:t>
      </w:r>
    </w:p>
    <w:p>
      <w:pPr>
        <w:pStyle w:val="Heading1"/>
        <w:spacing w:after="100" w:before="220"/>
      </w:pPr>
      <w:r>
        <w:t xml:space="preserve">2. Problem Statement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Given a radar-centred C-UAS architecture already specified for ground deployment, identify the specific altitude-induced failure mechanisms in its power, mechanical, RF and control subsystems, and design + quantitatively validate (by simulation, given zero hardware budget) a hardware and software upgrade path that restores baseline performance at 3,000–5,000m ASL under −40°C cold-soak and 45 m/s gust loading.</w:t>
      </w:r>
    </w:p>
    <w:p>
      <w:pPr>
        <w:pStyle w:val="Heading1"/>
        <w:spacing w:after="100" w:before="220"/>
      </w:pPr>
      <w:r>
        <w:t xml:space="preserve">3. Inspiration and Available Technology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solution direction was set by three observations from the source material reviewed for this project: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The BSF/MHA specifications already assume a working detection architecture (radar/RF + EO/IR + jammer + C2) — reinventing that layer would waste the team's limited RF/aerospace expertise on a solved problem.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Published reliability literature on tethered high-altitude platforms models environmental turbulence as a first-class factor degrading system MTTF via reliability block diagrams (RBD) — this gave the team its reliability-modelling method (Section 7.4).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Disturbance-observer (DOB) augmented control is an established technique in optical/RF gimbal stabilization literature for rejecting torque disturbances a fixed-gain PID loop cannot anticipate — this gave the team its control-upgrade path (Section 7.1) instead of simply re-tuning PID gains, which cannot reject a disturbance it never measures.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COTS technology available to a zero-budget student team was mapped directly onto these three cues: LiFePO4 cells (automotive/solar off-grid market, cold-rated variants exist commercially), dry-lubricated ceramic-hybrid bearings (satellite/vacuum-equipment supply chain), aerogel insulation panels (building/aerospace insulation market), and an Unscented Kalman Filter for the DOB's state estimate (standard in `python-control`/`filterpy`, avoiding the linearisation error an Extended Kalman Filter would introduce under large gust-induced attitude swings).</w:t>
      </w:r>
    </w:p>
    <w:p>
      <w:pPr>
        <w:pStyle w:val="Heading1"/>
        <w:spacing w:after="100" w:before="220"/>
      </w:pPr>
      <w:r>
        <w:t xml:space="preserve">4. Proposed Solution — Architecture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detection/tracking/C2 pipeline (radar + RF + EO/IR sensing → confidence-weighted fusion → gimbal tracking → alerting) is retained unchanged from the team's baseline design (SIH deck, Slide 3). The contribution sits entirely in how that pipeline is packaged and controlled at altitude, split cleanly into a hardware track and a software track so the two can be engineered, costed and validated independently: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400"/>
        <w:gridCol w:w="800"/>
      </w:tblGrid>
      <w:tr>
        <w:tc>
          <w:tcPr>
            <w:tcW w:type="dxa" w:w="16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 (sea-level-rated)</w:t>
            </w:r>
          </w:p>
        </w:tc>
        <w:tc>
          <w:tcPr>
            <w:tcW w:type="dxa" w:w="34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Altitude upgrade</w:t>
            </w:r>
          </w:p>
        </w:tc>
        <w:tc>
          <w:tcPr>
            <w:tcW w:type="dxa" w:w="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Hardware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IP65 case, COTS Li-ion, greased steel bearings, standard-margin MOSFETs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Aerogel double-wall case + preheat interlock, LiFePO4 + heated BMS, ceramic-hybrid dry bearings, voltage-derated MOSFETs</w:t>
            </w:r>
          </w:p>
        </w:tc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Section 5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Software / Control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Fixed-gain PID pointing loop, static CFAR thresholds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DOB+UKF pointing loop, altitude/temperature-aware CFAR retuning, confidence-weighted sensor fusion</w:t>
            </w:r>
          </w:p>
        </w:tc>
        <w:tc>
          <w:tcPr>
            <w:tcW w:type="dxa" w:w="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Section 6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1. The two-track split used for the rest of this paper and for team task allocation.</w:t>
      </w:r>
    </w:p>
    <w:p>
      <w:pPr>
        <w:pStyle w:val="Heading1"/>
        <w:spacing w:after="100" w:before="220"/>
      </w:pPr>
      <w:r>
        <w:t xml:space="preserve">5. Hardware Upgrades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c>
          <w:tcPr>
            <w:tcW w:type="dxa" w:w="1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Failure mechanism at altitude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Enclosure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Passive-vented IP65 case loses convective cooling as air density drops; cold-soak reaches electronics faster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Aerogel double-wall composite, firmware preheat interlock blocking power-up below a set internal-temperature floor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Battery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Li-ion electrolyte conductivity and Li-ion mobility collapse below 0°C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LiFePO4 cells, embedded heating element, low-temperature-aware BMS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Bearings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Grease viscosity rises sharply at cold-soak (stiction); at low pressure, volatile grease components can outgas onto optics/RF apertures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Dry-lubricated ceramic-hybrid bearings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Power semiconductors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Elevated cosmic-ray flux at altitude raises Single-Event Burnout risk near rated breakdown voltage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MOSFETs derated to ~65–70% of rated breakdown voltage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2. Hardware track — each upgrade traces to a named physical failure mechanism, not a bare compliance label.</w:t>
      </w:r>
    </w:p>
    <w:p>
      <w:pPr>
        <w:pStyle w:val="Heading1"/>
        <w:spacing w:after="100" w:before="220"/>
      </w:pPr>
      <w:r>
        <w:t xml:space="preserve">6. Software and Control Upgrades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Pointing control: replace the fixed-gain PID gimbal loop with a Disturbance-Observer-augmented loop (DOB+PID). The DOB estimates the unmeasured gust-torque disturbance from the plant's own response and feeds forward a cancelling correction; an Unscented Kalman Filter (rather than a linearised EKF) handles the observer's state estimate to track large, nonlinear gust dynamics without linearisation error.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Sensor fusion / detection thresholds: CFAR detection thresholds and the radar/RF/EO-IR confidence-fusion weights are retuned as a function of measured ambient temperature and estimated air density, rather than held at fixed sea-level-calibrated values — this keeps false-alarm rate from drifting as the operating environment changes through the day/season.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Thermal-aware compute scheduling: the edge-processing pipeline sheds non-critical workload (e.g. reduces EO/IR frame rate or classifier batch size) when internal temperature approaches the derated ceiling computed in Section 7.5, instead of relying on hardware thermal shutdown as the only safeguard.</w:t>
      </w:r>
    </w:p>
    <w:p>
      <w:pPr>
        <w:pStyle w:val="Heading1"/>
        <w:spacing w:after="100" w:before="220"/>
      </w:pPr>
      <w:r>
        <w:t xml:space="preserve">7. Simulated Results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Each result below is computed from an explicit first-principles or reliability-engineering model, not assumed. Full model form, parameter values and code are in Appendix A.</w:t>
      </w:r>
    </w:p>
    <w:p>
      <w:pPr>
        <w:pStyle w:val="Heading2"/>
        <w:spacing w:after="80" w:before="140"/>
      </w:pPr>
      <w:r>
        <w:t xml:space="preserve">7.1 Pointing control — DOB+UKF vs fixed-gain PID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 second-order gimbal plant (J = 0.8 kg·m², b = 0.15 N·m·s/rad) was driven by a stochastic gust-torque disturbance (mean 12 m/s wind with discrete gust bursts to 45 m/s, converted to torque via dynamic-pressure loading on a 0.06 m² sail area at 0.72 kg/m³ air density) and controlled by identical PID gains (Kp=6.0, Ki=1.5, Kd=0.9) with and without the DOB+UKF layer.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1800"/>
      </w:tblGrid>
      <w:tr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Fixed-gain PID</w:t>
            </w:r>
          </w:p>
        </w:tc>
        <w:tc>
          <w:tcPr>
            <w:tcW w:type="dxa" w:w="21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DOB + UKF</w:t>
            </w:r>
          </w:p>
        </w:tc>
        <w:tc>
          <w:tcPr>
            <w:tcW w:type="dxa" w:w="1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RMS pointing error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38.0 mrad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11.7 mrad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69.3% reduction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Peak pointing error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162.5 mrad</w:t>
            </w:r>
          </w:p>
        </w:tc>
        <w:tc>
          <w:tcPr>
            <w:tcW w:type="dxa" w:w="21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43.1 mrad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73.5% reduction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3. 30 s simulated run, 2 s transient discarded. This is the paper's primary control-system result.</w:t>
      </w:r>
    </w:p>
    <w:p>
      <w:pPr>
        <w:pStyle w:val="Heading2"/>
        <w:spacing w:after="80" w:before="140"/>
      </w:pPr>
      <w:r>
        <w:t xml:space="preserve">7.2 Battery capacity retention — Li-ion vs LiFePO4 + heater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Capacity-vs-temperature curves for COTS 18650 Li-ion and LiFePO4 chemistries (interpolated from typical published discharge-capacity behaviour) were combined with a heater energy balance using the aerogel enclosure's thermal resistance (assumed 4.2 K/W) to hold cell core temperature at 0°C against a −40°C ambient over a 6-hour mission (the BSF QR 2019 battery-backup requirement).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4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Capacity outcome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Li-ion, unheated, −40°C ambient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25.0% of rated capacity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LiFePO4 cell held at 0°C core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92.0% of rated capacity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Heater parasitic draw (aerogel case)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9.5 W continuous — 26.0% of a 220 Wh pack over 6 h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LiFePO4 net usable capacity after heater draw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68.1% of rated capacity — 172% relative gain over unheated Li-ion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4. With a standard (non-aerogel) enclosure the same heater would need ~44 W — over 100% of the pack's own capacity over 6 h — which is why the enclosure upgrade in Table 2 is a precondition for the battery upgrade to make sense, not an independent line item.</w:t>
      </w:r>
    </w:p>
    <w:p>
      <w:pPr>
        <w:pStyle w:val="Heading2"/>
        <w:spacing w:after="80" w:before="140"/>
      </w:pPr>
      <w:r>
        <w:t xml:space="preserve">7.3 Bearing startup torque — grease vs dry ceramic-hybrid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An Arrhenius-form viscosity-temperature model (calibrated to the published range for NLGI-2 lithium-complex grease, ~10x viscosity increase from +20°C to −40°C) was used with a sub-linear viscosity-to-breakaway-torque scaling (torque ∝ viscosity^0.5) typical of boundary-lubricated rolling-element bearings.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00"/>
      </w:tblGrid>
      <w:tr>
        <w:tc>
          <w:tcPr>
            <w:tcW w:type="dxa" w:w="4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Bearing type</w:t>
            </w:r>
          </w:p>
        </w:tc>
        <w:tc>
          <w:tcPr>
            <w:tcW w:type="dxa" w:w="4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Startup torque multiple at −40°C vs +20°C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Petroleum-greased steel (baseline)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3.1×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Dry-lubricated ceramic-hybrid (upgrade)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1.15×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5. 63.3% reduction in cold-start torque penalty — relevant to gimbal slew rate and initial-alignment time at cold-soak.</w:t>
      </w:r>
    </w:p>
    <w:p>
      <w:pPr>
        <w:pStyle w:val="Heading2"/>
        <w:spacing w:after="80" w:before="140"/>
      </w:pPr>
      <w:r>
        <w:t xml:space="preserve">7.4 System reliability — RBD/MTTF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 series reliability block diagram over six subsystems (battery, bearings, seals, power semiconductors, RF/radar front end, edge compute) was built with assumed baseline failure rates (order-of-magnitude, reliability-engineering-typical) and altitude-stress multipliers applied per subsystem; the upgraded configuration applies both an improved base failure rate (better materials) and a smaller altitude multiplier (hardening reduces stress sensitivity).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600"/>
      </w:tblGrid>
      <w:tr>
        <w:tc>
          <w:tcPr>
            <w:tcW w:type="dxa" w:w="3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 failure rate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MTTF</w:t>
            </w:r>
          </w:p>
        </w:tc>
      </w:tr>
      <w:tr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Baseline (sea-level-rated, altitude-derated)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22.91 (rate units)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43,649 h (≈ 5.0 years continuous)</w:t>
            </w:r>
          </w:p>
        </w:tc>
      </w:tr>
      <w:tr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Upgraded (hardened)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7.36 (rate units)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135,870 h (≈ 15.5 years continuous)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6. MTTF improves 211%. These are modelled, assumption-driven failure rates (Appendix A), not vendor-certified or field-measured figures — reported as an order-of-magnitude reliability argument, not a warranty claim.</w:t>
      </w:r>
    </w:p>
    <w:p>
      <w:pPr>
        <w:pStyle w:val="Heading2"/>
        <w:spacing w:after="80" w:before="140"/>
      </w:pPr>
      <w:r>
        <w:t xml:space="preserve">7.5 Detection range and thermal/processing derating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 simplified monostatic radar-range equation (X-band, 25 W transmit power, 0.01 m² small-drone RCS) was calibrated so the baseline 28 dBi front end reproduces the BSF QR 2019 "high RF-noise / urban" figure of 3 km, then re-evaluated for a 31 dBi upgraded front end (larger aperture, lower-noise front-end electronics).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00"/>
      </w:tblGrid>
      <w:tr>
        <w:tc>
          <w:tcPr>
            <w:tcW w:type="dxa" w:w="4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Front end</w:t>
            </w:r>
          </w:p>
        </w:tc>
        <w:tc>
          <w:tcPr>
            <w:tcW w:type="dxa" w:w="4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Detection range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Baseline (28 dBi)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3.00 km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Upgraded (31 dBi)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4.24 km — +41.3%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Separately, a lumped-parameter thermal model shows that at the +15°C warm-case ambient (not the −40°C cold case, which is not the binding thermal constraint for this power budget), reduced natural-convection heat transfer at 0.72 kg/m³ air density cuts the enclosure's sustainable continuous dissipation from 16.7 W to 12.1 W — a 27.3% processing/thermal derating that the edge-compute scheduling in Section 6 is designed to absorb gracefully rather than via thermal shutdown.</w:t>
      </w:r>
    </w:p>
    <w:p>
      <w:pPr>
        <w:pStyle w:val="Heading1"/>
        <w:spacing w:after="100" w:before="220"/>
      </w:pPr>
      <w:r>
        <w:t xml:space="preserve">8. Cost and Efficiency Analysis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Costed against an assumed representative bill-of-materials (order-of-magnitude, INR, per unit) rather than actual vendor quotes: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 BOM</w:t>
            </w:r>
          </w:p>
        </w:tc>
        <w:tc>
          <w:tcPr>
            <w:tcW w:type="dxa" w:w="33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Upgraded BOM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Per-unit cost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₹13,600</w:t>
            </w:r>
          </w:p>
        </w:tc>
        <w:tc>
          <w:tcPr>
            <w:tcW w:type="dxa" w:w="3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₹34,800  (+155.9%)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The upfront cost increase is real and should not be understated. It is offset over the deployment lifecycle by the MTTF improvement in Section 7.4: modelling a ₹45,000 field-service callout (high-altitude terrain logistics) against expected failures over 5 years of continuous 8,760 h/year operation: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c>
          <w:tcPr>
            <w:tcW w:type="dxa" w:w="34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8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Upgraded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Expected failures / 5 yr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0.32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Field-service cost / 5 yr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₹45,156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₹14,507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5-yr lifecycle cost (BOM + service)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₹58,756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₹49,307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Net 5-year lifecycle cost falls 16.1% despite the higher upfront BOM — the efficiency argument for the upgrade is amortised reliability, not raw unit price, and should be presented to judges that way rather than as an unqualified "cheaper" claim.</w:t>
      </w:r>
    </w:p>
    <w:p>
      <w:pPr>
        <w:pStyle w:val="Heading1"/>
        <w:spacing w:after="100" w:before="220"/>
      </w:pPr>
      <w:r>
        <w:t xml:space="preserve">9. Assumptions, Limits and Honesty Check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All Section 7/8 figures are simulation or model outputs built on stated, but assumed, parameter values (component failure rates, BOM line items, plant inertia, grease viscosity constants) — they are reproducible and internally consistent, not independently measured or vendor-certified.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The detection/tracking sensor architecture itself (radar+RF+EO/IR, CFAR, confidence fusion) is inherited from the team's baseline design and BSF/MHA specifications; this paper's contribution is the hardening layer around it, not the sensing method.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Neutralization (RF/GNSS jamming) is represented only as an inherited architectural block; it is not re-engineered, costed or simulated in this paper, consistent with the team's stated scope boundary.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No physical prototype exists; Section 7's numbers should be presented to judges explicitly as simulation-derived engineering estimates, with the model and assumptions available on request (Appendix A) — this is more defensible under technical questioning than an unlabelled number.</w:t>
      </w:r>
    </w:p>
    <w:p>
      <w:pPr>
        <w:pStyle w:val="Heading1"/>
        <w:spacing w:after="100" w:before="220"/>
      </w:pPr>
      <w:r>
        <w:t xml:space="preserve">10. Conclusion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Restructured around what PS 26050 actually asks — a robust redesign, not a new detection principle — this paper splits the team's upgrade into an independently costed hardware track (enclosure, battery, bearings, semiconductor derating) and software track (DOB+UKF pointing control, altitude-aware fusion), and backs six of its headline claims with first-principles or reliability-engineering simulation rather than assumed percentages: a 69.3% RMS pointing-error reduction, 172% relative battery-capacity gain, 63.3% cold-start bearing-torque reduction, 211% MTTF improvement, 41.3% detection-range gain, and a 16.1% lower 5-year lifecycle cost despite a 156% higher unit BOM. Every number traces to a stated, version-controlled model in Appendix A and the accompanying simulation repository, which is the paper's main defence against the "where did that number come from" question a judge is certain to ask.</w:t>
      </w:r>
    </w:p>
    <w:p>
      <w:pPr>
        <w:pStyle w:val="Heading1"/>
        <w:spacing w:after="100" w:before="220"/>
      </w:pPr>
      <w:r>
        <w:t xml:space="preserve">Appendix A — Model Summary (for reproducibility)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Pointing control: 2nd-order plant (Euler integration, dt=2ms, 30s run), gust torque from dynamic-pressure loading on wind speed modelled as Ornstein-Uhlenbeck + discrete gust bursts; DOB is a low-pass (8 rad/s bandwidth) estimator of residual torque, fed forward against identical PID gains in both arms.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Battery: piecewise-linear capacity-vs-temperature curves (typical published 18650 Li-ion / LiFePO4 behaviour); heater sized from enclosure thermal resistance × (T_floor − T_ambient); net capacity = cell capacity at floor temp × (1 − heater energy / pack energy).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Bearings: Arrhenius viscosity model calibrated to ~10× viscosity rise over the +20°C to −40°C band; torque ∝ viscosity^0.5 (boundary-lubrication scaling).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Reliability: series RBD, λ_system = Σλ_i; baseline and upgraded λ_i sets and altitude multipliers are assumed order-of-magnitude values (see Section 9); MTTF = 1/λ_system.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Radar range: monostatic range equation R⁴ = Pt·G²·λ²·σ/((4π)³·Pmin); Pmin solved so the baseline case reproduces the BSF QR 2019 3 km urban-noise figure, then held fixed while only G is upgraded.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Thermal: lumped single-node RC model, steady state ΔT = P·R_th; natural-convection R_th scaled by (ρ_altitude/ρ_sea-level)^0.6.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Full Python source for all seven models lives in the /research_sims/ folder of the team's project repository as separate, documented modules (pointing_control_sim.py, battery_thermal_sim.py, bearing_lubrication_sim.py, reliability_rbd_sim.py, radar_range_sim.py, thermal_derating_sim.py, cost_lifecycle_sim.py), each with its assumptions in an editable CONFIG block. run_all.py runs all seven and writes results/results.json and results/results.md — the exact tables in this section are generated from that output, not hand-typed, and the cost model imports its MTTF input directly from the reliability model so the two stay consistent if either is changed.</w:t>
      </w:r>
    </w:p>
    <w:p>
      <w:pPr>
        <w:pStyle w:val="Heading1"/>
        <w:spacing w:after="100" w:before="220"/>
      </w:pPr>
      <w:r>
        <w:t xml:space="preserve">References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[1] BSF Directorate General, Anti-Drone System (Without Radar) QRs per MHA letter 2434/Ops/Tech/141/377/2025/350, 24.06.2025.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[2] DG BSF Provisioning Directorate, Draft QRs and Trial Directives for Anti-Drone System, 11 October 2019.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[3] D. Selvamuthu et al., "Reliability Analysis of an Anti-Drone System by Considering Random Environmental Factors," RT&amp;A, vol. 19, no. 3(79), 2024.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[4] Chung et al., "Disturbance-Observer-Based Gimbal Stabilization Control," IJCAS, 2025.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[5] Rosamilia et al., "Drone Radar Cross Section Characterisation," IEEE TAES, 2022.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[6] MIL-HDBK-217F, Reliability Prediction of Electronic Equipment, U.S. DoD.</w:t>
      </w:r>
    </w:p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[7] MIL-STD-810H, Environmental Engineering Considerations and Laboratory Tests, U.S. DoD.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2026-09-20T03:33:49.760Z</dcterms:created>
  <dcterms:modified xsi:type="dcterms:W3CDTF">2026-09-20T03:33:49.767Z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