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Heavy Hand of China is having a big impact: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Connecting the dots with Nancy Lazar &amp; Victor Cossel: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 Econ: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Chinese economy has slowed down, we have seen in it the GDP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Beijing did cut the RRR in response to the slowed down in Chinese Economy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are also letting their large tech companies know that harsh regulations are on the way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are also hoping to offset any damage done by easing monetary policy (as seen in the RRR cut)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However, putting big regulations on tech companies and investments could damper future innovation and also hurt productivity which limits profits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Beijing is walking a very thin line, in its economic policy one wrong move could truly have a negative impact on the tech economy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Technology: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Seems like the Tech sector super-star status will go unchecked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China seems to be sacrificing growth and innovation for controlling big data, even though they are not producing semiconductors at the level the world needs.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 and other western countries are going to start unwinding supply chains in the hope of decoupling from the two-decade-old China/Centric model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Losing Centralized efficiencies will have to be offset by pricing power at the risk of scaled production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