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Fed vice chair Richard H. Clarida on US economic outlook and monetary policy: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GDP, we see the country is moving from recovery to expansion in the 2H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one expected the GDP to be this robust in past years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march recession was the deepest since the Great Depression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the briefest as starting in March 2020 and called over in April 2021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the end of 2021, the economy will have entirely closed the output gap opened by the recession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recovery in employment has always come after the recovery in GDP and this year is no different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Employment is still in recovery while the economy is in an expansion period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growth is projected to be 7% on a Q4 over a Q4 basis, making it the fastest GDP growth since the 80s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GDP will step down next year by 3.3% and 2.4% in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Inflation surges to 3% this year, then back down to 2.1%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labor market will reach maxim employment in 2022 if the unemployment rate declines to 3.8%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Treasury and MBS purchases are staying at 80 and 40 billion, respectively, over the coming months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Delaying liftoff until they reach 2% average inflation and maximum employment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in labor supply this Fall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employment is the maximum sustainable level of employment that allows the feds' goal of 2% inflation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Moderation in purchase if the economy can meet the feds goals in the coming months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output gap right now, unemployment is not where it needs to be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