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2"/>
        </w:rPr>
        <w:t>SPRINT RETROSPECTIVE · SPRINT 5</w:t>
      </w:r>
    </w:p>
    <w:p>
      <w:pPr>
        <w:spacing w:after="40"/>
      </w:pPr>
      <w:r>
        <w:rPr>
          <w:b w:val="0"/>
          <w:i w:val="0"/>
          <w:sz w:val="26"/>
        </w:rPr>
        <w:t>SIGMA · Sistema Integrado de Gestión de Mantenimiento Industrial</w:t>
      </w:r>
    </w:p>
    <w:p>
      <w:pPr>
        <w:spacing w:after="240"/>
      </w:pPr>
      <w:r>
        <w:rPr>
          <w:b w:val="0"/>
          <w:i w:val="0"/>
          <w:color w:val="555555"/>
          <w:sz w:val="22"/>
        </w:rPr>
        <w:t>Acta de la retrospectiva del equipo · Sprint 5 «Ejecución»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F3F1FB"/>
          </w:tcPr>
          <w:p>
            <w:r/>
            <w:r>
              <w:rPr>
                <w:b/>
                <w:sz w:val="20"/>
              </w:rPr>
              <w:t>Evento</w:t>
            </w:r>
          </w:p>
        </w:tc>
        <w:tc>
          <w:tcPr>
            <w:tcW w:type="dxa" w:w="6803"/>
          </w:tcPr>
          <w:p>
            <w:r/>
            <w:r>
              <w:rPr>
                <w:sz w:val="20"/>
              </w:rPr>
              <w:t>Sprint Retrospective (Guía Scrum 2020): inspección de cómo trabajó el equipo y plan de mejora</w:t>
            </w:r>
          </w:p>
        </w:tc>
      </w:tr>
      <w:tr>
        <w:tc>
          <w:tcPr>
            <w:tcW w:type="dxa" w:w="2551"/>
            <w:shd w:val="clear" w:color="auto" w:fill="F3F1FB"/>
          </w:tcPr>
          <w:p>
            <w:r/>
            <w:r>
              <w:rPr>
                <w:b/>
                <w:sz w:val="20"/>
              </w:rPr>
              <w:t>Fecha y duración</w:t>
            </w:r>
          </w:p>
        </w:tc>
        <w:tc>
          <w:tcPr>
            <w:tcW w:type="dxa" w:w="6803"/>
          </w:tcPr>
          <w:p>
            <w:r/>
            <w:r>
              <w:rPr>
                <w:sz w:val="20"/>
              </w:rPr>
              <w:t>10-11-2026 · 1 h</w:t>
            </w:r>
          </w:p>
        </w:tc>
      </w:tr>
      <w:tr>
        <w:tc>
          <w:tcPr>
            <w:tcW w:type="dxa" w:w="2551"/>
            <w:shd w:val="clear" w:color="auto" w:fill="F3F1FB"/>
          </w:tcPr>
          <w:p>
            <w:r/>
            <w:r>
              <w:rPr>
                <w:b/>
                <w:sz w:val="20"/>
              </w:rPr>
              <w:t>Lugar</w:t>
            </w:r>
          </w:p>
        </w:tc>
        <w:tc>
          <w:tcPr>
            <w:tcW w:type="dxa" w:w="6803"/>
          </w:tcPr>
          <w:p>
            <w:r/>
            <w:r>
              <w:rPr>
                <w:sz w:val="20"/>
              </w:rPr>
              <w:t>Videollamada</w:t>
            </w:r>
          </w:p>
        </w:tc>
      </w:tr>
      <w:tr>
        <w:tc>
          <w:tcPr>
            <w:tcW w:type="dxa" w:w="2551"/>
            <w:shd w:val="clear" w:color="auto" w:fill="F3F1FB"/>
          </w:tcPr>
          <w:p>
            <w:r/>
            <w:r>
              <w:rPr>
                <w:b/>
                <w:sz w:val="20"/>
              </w:rPr>
              <w:t>Facilita</w:t>
            </w:r>
          </w:p>
        </w:tc>
        <w:tc>
          <w:tcPr>
            <w:tcW w:type="dxa" w:w="6803"/>
          </w:tcPr>
          <w:p>
            <w:r/>
            <w:r>
              <w:rPr>
                <w:sz w:val="20"/>
              </w:rPr>
              <w:t>Emilio Fuentes (Scrum Master)</w:t>
            </w:r>
          </w:p>
        </w:tc>
      </w:tr>
      <w:tr>
        <w:tc>
          <w:tcPr>
            <w:tcW w:type="dxa" w:w="2551"/>
            <w:shd w:val="clear" w:color="auto" w:fill="F3F1FB"/>
          </w:tcPr>
          <w:p>
            <w:r/>
            <w:r>
              <w:rPr>
                <w:b/>
                <w:sz w:val="20"/>
              </w:rPr>
              <w:t>Participan</w:t>
            </w:r>
          </w:p>
        </w:tc>
        <w:tc>
          <w:tcPr>
            <w:tcW w:type="dxa" w:w="6803"/>
          </w:tcPr>
          <w:p>
            <w:r/>
            <w:r>
              <w:rPr>
                <w:sz w:val="20"/>
              </w:rPr>
              <w:t>Catalina Pescio, Emilio Fuentes, Bryan Chávez</w:t>
            </w:r>
          </w:p>
        </w:tc>
      </w:tr>
      <w:tr>
        <w:tc>
          <w:tcPr>
            <w:tcW w:type="dxa" w:w="2551"/>
            <w:shd w:val="clear" w:color="auto" w:fill="F3F1FB"/>
          </w:tcPr>
          <w:p>
            <w:r/>
            <w:r>
              <w:rPr>
                <w:b/>
                <w:sz w:val="20"/>
              </w:rPr>
              <w:t>Registra el acta</w:t>
            </w:r>
          </w:p>
        </w:tc>
        <w:tc>
          <w:tcPr>
            <w:tcW w:type="dxa" w:w="6803"/>
          </w:tcPr>
          <w:p>
            <w:r/>
            <w:r>
              <w:rPr>
                <w:sz w:val="20"/>
              </w:rPr>
              <w:t>Emilio Fuentes</w:t>
            </w:r>
          </w:p>
        </w:tc>
      </w:tr>
    </w:tbl>
    <w:p>
      <w:pPr>
        <w:spacing w:after="40"/>
      </w:pPr>
    </w:p>
    <w:p>
      <w:pPr>
        <w:pStyle w:val="Heading1"/>
      </w:pPr>
      <w:r>
        <w:t>1. Seguimiento de los acuerdos anteriores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020"/>
            <w:shd w:val="clear" w:color="auto" w:fill="E8E5F7"/>
          </w:tcPr>
          <w:p>
            <w:r/>
            <w:r>
              <w:rPr>
                <w:b/>
                <w:sz w:val="19"/>
              </w:rPr>
              <w:t>Acuerdo</w:t>
            </w:r>
          </w:p>
        </w:tc>
        <w:tc>
          <w:tcPr>
            <w:tcW w:type="dxa" w:w="3685"/>
            <w:shd w:val="clear" w:color="auto" w:fill="E8E5F7"/>
          </w:tcPr>
          <w:p>
            <w:r/>
            <w:r>
              <w:rPr>
                <w:b/>
                <w:sz w:val="19"/>
              </w:rPr>
              <w:t>Qué decía</w:t>
            </w:r>
          </w:p>
        </w:tc>
        <w:tc>
          <w:tcPr>
            <w:tcW w:type="dxa" w:w="4932"/>
            <w:shd w:val="clear" w:color="auto" w:fill="E8E5F7"/>
          </w:tcPr>
          <w:p>
            <w:r/>
            <w:r>
              <w:rPr>
                <w:b/>
                <w:sz w:val="19"/>
              </w:rPr>
              <w:t>Estado</w:t>
            </w:r>
          </w:p>
        </w:tc>
      </w:tr>
      <w:tr>
        <w:tc>
          <w:tcPr>
            <w:tcW w:type="dxa" w:w="1020"/>
          </w:tcPr>
          <w:p>
            <w:r/>
            <w:r>
              <w:rPr>
                <w:sz w:val="19"/>
              </w:rPr>
              <w:t>A14</w:t>
            </w:r>
          </w:p>
        </w:tc>
        <w:tc>
          <w:tcPr>
            <w:tcW w:type="dxa" w:w="3685"/>
          </w:tcPr>
          <w:p>
            <w:r/>
            <w:r>
              <w:rPr>
                <w:sz w:val="19"/>
              </w:rPr>
              <w:t>Un solo formato de evidencia: todo caso entra al manifiesto</w:t>
            </w:r>
          </w:p>
        </w:tc>
        <w:tc>
          <w:tcPr>
            <w:tcW w:type="dxa" w:w="4932"/>
          </w:tcPr>
          <w:p>
            <w:r/>
            <w:r>
              <w:rPr>
                <w:sz w:val="19"/>
              </w:rPr>
              <w:t>Cumplido: el informe del Sprint 5 sale del manifiesto con 98 casos; los de HU-117, 125, 131, 142, 143 y 162 se agregaron al cierre como verificaciones documentadas.</w:t>
            </w:r>
          </w:p>
        </w:tc>
      </w:tr>
      <w:tr>
        <w:tc>
          <w:tcPr>
            <w:tcW w:type="dxa" w:w="1020"/>
          </w:tcPr>
          <w:p>
            <w:r/>
            <w:r>
              <w:rPr>
                <w:sz w:val="19"/>
              </w:rPr>
              <w:t>A15</w:t>
            </w:r>
          </w:p>
        </w:tc>
        <w:tc>
          <w:tcPr>
            <w:tcW w:type="dxa" w:w="3685"/>
          </w:tcPr>
          <w:p>
            <w:r/>
            <w:r>
              <w:rPr>
                <w:sz w:val="19"/>
              </w:rPr>
              <w:t>«En revisión» solo con las pruebas ejecutadas</w:t>
            </w:r>
          </w:p>
        </w:tc>
        <w:tc>
          <w:tcPr>
            <w:tcW w:type="dxa" w:w="4932"/>
          </w:tcPr>
          <w:p>
            <w:r/>
            <w:r>
              <w:rPr>
                <w:sz w:val="19"/>
              </w:rPr>
              <w:t>Cumplido en parte: las 12 historias que estaban en revisión tenían sus criterios verificados; HU-162 y HU-131 siguen sin evidencia visual en navegador</w:t>
            </w:r>
          </w:p>
        </w:tc>
      </w:tr>
      <w:tr>
        <w:tc>
          <w:tcPr>
            <w:tcW w:type="dxa" w:w="1020"/>
          </w:tcPr>
          <w:p>
            <w:r/>
            <w:r>
              <w:rPr>
                <w:sz w:val="19"/>
              </w:rPr>
              <w:t>A16</w:t>
            </w:r>
          </w:p>
        </w:tc>
        <w:tc>
          <w:tcPr>
            <w:tcW w:type="dxa" w:w="3685"/>
          </w:tcPr>
          <w:p>
            <w:r/>
            <w:r>
              <w:rPr>
                <w:sz w:val="19"/>
              </w:rPr>
              <w:t>Validación con la PO al terminar cada historia</w:t>
            </w:r>
          </w:p>
        </w:tc>
        <w:tc>
          <w:tcPr>
            <w:tcW w:type="dxa" w:w="4932"/>
          </w:tcPr>
          <w:p>
            <w:r/>
            <w:r>
              <w:rPr>
                <w:sz w:val="19"/>
              </w:rPr>
              <w:t>No cumplido: las validaciones se registraron juntas al cierre del sprint</w:t>
            </w:r>
          </w:p>
        </w:tc>
      </w:tr>
      <w:tr>
        <w:tc>
          <w:tcPr>
            <w:tcW w:type="dxa" w:w="1020"/>
          </w:tcPr>
          <w:p>
            <w:r/>
            <w:r>
              <w:rPr>
                <w:sz w:val="19"/>
              </w:rPr>
              <w:t>A17</w:t>
            </w:r>
          </w:p>
        </w:tc>
        <w:tc>
          <w:tcPr>
            <w:tcW w:type="dxa" w:w="3685"/>
          </w:tcPr>
          <w:p>
            <w:r/>
            <w:r>
              <w:rPr>
                <w:sz w:val="19"/>
              </w:rPr>
              <w:t>Horas reales al cerrar cada tarea</w:t>
            </w:r>
          </w:p>
        </w:tc>
        <w:tc>
          <w:tcPr>
            <w:tcW w:type="dxa" w:w="4932"/>
          </w:tcPr>
          <w:p>
            <w:r/>
            <w:r>
              <w:rPr>
                <w:sz w:val="19"/>
              </w:rPr>
              <w:t>Cumplido en forma, dudoso en fondo: 230 de 230 tareas terminadas llevan horas reales, pero en 228 coinciden exactamente con las estimadas (parecen copiadas de la estimación)</w:t>
            </w:r>
          </w:p>
        </w:tc>
      </w:tr>
    </w:tbl>
    <w:p>
      <w:pPr>
        <w:spacing w:after="40"/>
      </w:pPr>
    </w:p>
    <w:p>
      <w:pPr>
        <w:pStyle w:val="Heading1"/>
      </w:pPr>
      <w:r>
        <w:t>2. Feedback del cliente que el equipo toma como insumo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381"/>
            <w:shd w:val="clear" w:color="auto" w:fill="E8E5F7"/>
          </w:tcPr>
          <w:p>
            <w:r/>
            <w:r>
              <w:rPr>
                <w:b/>
                <w:sz w:val="19"/>
              </w:rPr>
              <w:t>Tema</w:t>
            </w:r>
          </w:p>
        </w:tc>
        <w:tc>
          <w:tcPr>
            <w:tcW w:type="dxa" w:w="1984"/>
            <w:shd w:val="clear" w:color="auto" w:fill="E8E5F7"/>
          </w:tcPr>
          <w:p>
            <w:r/>
            <w:r>
              <w:rPr>
                <w:b/>
                <w:sz w:val="19"/>
              </w:rPr>
              <w:t>Origen</w:t>
            </w:r>
          </w:p>
        </w:tc>
        <w:tc>
          <w:tcPr>
            <w:tcW w:type="dxa" w:w="5272"/>
            <w:shd w:val="clear" w:color="auto" w:fill="E8E5F7"/>
          </w:tcPr>
          <w:p>
            <w:r/>
            <w:r>
              <w:rPr>
                <w:b/>
                <w:sz w:val="19"/>
              </w:rPr>
              <w:t>Qué significa para el equipo</w:t>
            </w:r>
          </w:p>
        </w:tc>
      </w:tr>
      <w:tr>
        <w:tc>
          <w:tcPr>
            <w:tcW w:type="dxa" w:w="2381"/>
          </w:tcPr>
          <w:p>
            <w:r/>
            <w:r>
              <w:rPr>
                <w:sz w:val="19"/>
              </w:rPr>
              <w:t>Menús y «tras menús»</w:t>
            </w:r>
          </w:p>
        </w:tc>
        <w:tc>
          <w:tcPr>
            <w:tcW w:type="dxa" w:w="1984"/>
          </w:tcPr>
          <w:p>
            <w:r/>
            <w:r>
              <w:rPr>
                <w:sz w:val="19"/>
              </w:rPr>
              <w:t>Revisión del cliente (04-10-2026)</w:t>
            </w:r>
          </w:p>
        </w:tc>
        <w:tc>
          <w:tcPr>
            <w:tcW w:type="dxa" w:w="5272"/>
          </w:tcPr>
          <w:p>
            <w:r/>
            <w:r>
              <w:rPr>
                <w:sz w:val="19"/>
              </w:rPr>
              <w:t>Menos menús y más centros: se mantiene el criterio de llevar cada módulo a un centro con cajones y no a pantallas sueltas.</w:t>
            </w:r>
          </w:p>
        </w:tc>
      </w:tr>
      <w:tr>
        <w:tc>
          <w:tcPr>
            <w:tcW w:type="dxa" w:w="2381"/>
          </w:tcPr>
          <w:p>
            <w:r/>
            <w:r>
              <w:rPr>
                <w:sz w:val="19"/>
              </w:rPr>
              <w:t>Perfiles dinámicos</w:t>
            </w:r>
          </w:p>
        </w:tc>
        <w:tc>
          <w:tcPr>
            <w:tcW w:type="dxa" w:w="1984"/>
          </w:tcPr>
          <w:p>
            <w:r/>
            <w:r>
              <w:rPr>
                <w:sz w:val="19"/>
              </w:rPr>
              <w:t>Regla del cliente (09-10-2026)</w:t>
            </w:r>
          </w:p>
        </w:tc>
        <w:tc>
          <w:tcPr>
            <w:tcW w:type="dxa" w:w="5272"/>
          </w:tcPr>
          <w:p>
            <w:r/>
            <w:r>
              <w:rPr>
                <w:sz w:val="19"/>
              </w:rPr>
              <w:t>La facultad se pregunta a los datos, nunca al nombre del perfil. Aplica a todo texto y código nuevo.</w:t>
            </w:r>
          </w:p>
        </w:tc>
      </w:tr>
      <w:tr>
        <w:tc>
          <w:tcPr>
            <w:tcW w:type="dxa" w:w="2381"/>
          </w:tcPr>
          <w:p>
            <w:r/>
            <w:r>
              <w:rPr>
                <w:sz w:val="19"/>
              </w:rPr>
              <w:t>Sin espacios muertos</w:t>
            </w:r>
          </w:p>
        </w:tc>
        <w:tc>
          <w:tcPr>
            <w:tcW w:type="dxa" w:w="1984"/>
          </w:tcPr>
          <w:p>
            <w:r/>
            <w:r>
              <w:rPr>
                <w:sz w:val="19"/>
              </w:rPr>
              <w:t>Pedido del cliente (09-10-2026)</w:t>
            </w:r>
          </w:p>
        </w:tc>
        <w:tc>
          <w:tcPr>
            <w:tcW w:type="dxa" w:w="5272"/>
          </w:tcPr>
          <w:p>
            <w:r/>
            <w:r>
              <w:rPr>
                <w:sz w:val="19"/>
              </w:rPr>
              <w:t>El diseño visual se revisa contra el pedido del cliente antes de mostrar una pantalla.</w:t>
            </w:r>
          </w:p>
        </w:tc>
      </w:tr>
      <w:tr>
        <w:tc>
          <w:tcPr>
            <w:tcW w:type="dxa" w:w="2381"/>
          </w:tcPr>
          <w:p>
            <w:r/>
            <w:r>
              <w:rPr>
                <w:sz w:val="19"/>
              </w:rPr>
              <w:t>Cobros y contacto de cobro de Hamburgo</w:t>
            </w:r>
          </w:p>
        </w:tc>
        <w:tc>
          <w:tcPr>
            <w:tcW w:type="dxa" w:w="1984"/>
          </w:tcPr>
          <w:p>
            <w:r/>
            <w:r>
              <w:rPr>
                <w:sz w:val="19"/>
              </w:rPr>
              <w:t>Bryan Chávez (16-10-2026)</w:t>
            </w:r>
          </w:p>
        </w:tc>
        <w:tc>
          <w:tcPr>
            <w:tcW w:type="dxa" w:w="5272"/>
          </w:tcPr>
          <w:p>
            <w:r/>
            <w:r>
              <w:rPr>
                <w:sz w:val="19"/>
              </w:rPr>
              <w:t>La copia oculta de monitoreo permite vigilar lo que sale sin cambiar a quién le llega.</w:t>
            </w:r>
          </w:p>
        </w:tc>
      </w:tr>
    </w:tbl>
    <w:p>
      <w:pPr>
        <w:spacing w:after="40"/>
      </w:pPr>
    </w:p>
    <w:p>
      <w:pPr>
        <w:pStyle w:val="Heading1"/>
      </w:pPr>
      <w:r>
        <w:t>3. Qué salió bien</w:t>
      </w:r>
    </w:p>
    <w:p>
      <w:pPr>
        <w:pStyle w:val="ListBullet"/>
        <w:spacing w:after="60"/>
      </w:pPr>
      <w:r>
        <w:rPr>
          <w:b/>
          <w:sz w:val="21"/>
        </w:rPr>
        <w:t xml:space="preserve">Un ciclo comercial probado de punta a punta </w:t>
      </w:r>
      <w:r>
        <w:rPr>
          <w:sz w:val="21"/>
        </w:rPr>
        <w:t>con datos reales de Hamburgo SA (lead, demo, propuesta, contrato firmado, Webpay y transferencia verificadas), no con datos inventados.</w:t>
      </w:r>
    </w:p>
    <w:p>
      <w:pPr>
        <w:pStyle w:val="ListBullet"/>
        <w:spacing w:after="60"/>
      </w:pPr>
      <w:r>
        <w:rPr>
          <w:b/>
          <w:sz w:val="21"/>
        </w:rPr>
        <w:t xml:space="preserve">Los procesos automáticos funcionan sin agendador del hospedaje: </w:t>
      </w:r>
      <w:r>
        <w:rPr>
          <w:sz w:val="21"/>
        </w:rPr>
        <w:t>el planificador interno y un workflow de GitHub Actions despiertan Jobs.aspx cada 5 minutos; once jobs registran sus ejecuciones sin errores.</w:t>
      </w:r>
    </w:p>
    <w:p>
      <w:pPr>
        <w:pStyle w:val="ListBullet"/>
        <w:spacing w:after="60"/>
      </w:pPr>
      <w:r>
        <w:rPr>
          <w:b/>
          <w:sz w:val="21"/>
        </w:rPr>
        <w:t xml:space="preserve">La carga de datos cubre ya los tres módulos </w:t>
      </w:r>
      <w:r>
        <w:rPr>
          <w:sz w:val="21"/>
        </w:rPr>
        <w:t>con revisión previa sin escribir, y los libros de la presentación del miércoles quedaron preparados.</w:t>
      </w:r>
    </w:p>
    <w:p>
      <w:pPr>
        <w:pStyle w:val="ListBullet"/>
        <w:spacing w:after="60"/>
      </w:pPr>
      <w:r>
        <w:rPr>
          <w:b/>
          <w:sz w:val="21"/>
        </w:rPr>
        <w:t xml:space="preserve">La documentación de usuario dejó de ser texto: </w:t>
      </w:r>
      <w:r>
        <w:rPr>
          <w:sz w:val="21"/>
        </w:rPr>
        <w:t>tres manuales de flujo con unas 60 capturas reales y los manuales de los módulos actualizados.</w:t>
      </w:r>
    </w:p>
    <w:p>
      <w:pPr>
        <w:pStyle w:val="Heading1"/>
      </w:pPr>
      <w:r>
        <w:t>4. Qué no salió bien</w:t>
      </w:r>
    </w:p>
    <w:p>
      <w:pPr>
        <w:pStyle w:val="ListBullet"/>
        <w:spacing w:after="60"/>
      </w:pPr>
      <w:r>
        <w:rPr>
          <w:b/>
          <w:sz w:val="21"/>
        </w:rPr>
        <w:t xml:space="preserve">La ejecución se concentró en una persona: </w:t>
      </w:r>
      <w:r>
        <w:rPr>
          <w:sz w:val="21"/>
        </w:rPr>
        <w:t>de las 230 tareas terminadas, 180 de Bryan Chávez, 28 de Emilio Fuentes, 22 de Catalina Pescio. Las horas planificadas de lo terminado suman 242 contra una capacidad de 240 del equipo.</w:t>
      </w:r>
    </w:p>
    <w:p>
      <w:pPr>
        <w:pStyle w:val="ListBullet"/>
        <w:spacing w:after="60"/>
      </w:pPr>
      <w:r>
        <w:rPr>
          <w:b/>
          <w:sz w:val="21"/>
        </w:rPr>
        <w:t xml:space="preserve">Doce historias nuevas </w:t>
      </w:r>
      <w:r>
        <w:rPr>
          <w:sz w:val="21"/>
        </w:rPr>
        <w:t>(78 puntos) se construyeron antes de estar en el Product Backlog y se incorporaron al cierre. Es lo contrario de lo que pide Scrum: primero el backlog y después el código.</w:t>
      </w:r>
    </w:p>
    <w:p>
      <w:pPr>
        <w:pStyle w:val="ListBullet"/>
        <w:spacing w:after="60"/>
      </w:pPr>
      <w:r>
        <w:rPr>
          <w:b/>
          <w:sz w:val="21"/>
        </w:rPr>
        <w:t xml:space="preserve">Seis historias </w:t>
      </w:r>
      <w:r>
        <w:rPr>
          <w:sz w:val="21"/>
        </w:rPr>
        <w:t>(HU-117, 125, 131, 142, 143 y 162) no tenían su caso en el informe de pruebas y hubo que reconstruirlo desde la bitácora; HU-131 y HU-162 siguen sin evidencia visual.</w:t>
      </w:r>
    </w:p>
    <w:p>
      <w:pPr>
        <w:pStyle w:val="ListBullet"/>
        <w:spacing w:after="60"/>
      </w:pPr>
      <w:r>
        <w:rPr>
          <w:b/>
          <w:sz w:val="21"/>
        </w:rPr>
        <w:t xml:space="preserve">Del lado de producción hay pasos manuales sin hacer: </w:t>
      </w:r>
      <w:r>
        <w:rPr>
          <w:sz w:val="21"/>
        </w:rPr>
        <w:t>la clave de los jobs dentro de la configuración, las migraciones BD 463–473 en otros ambientes y la publicación a SmarterASP.</w:t>
      </w:r>
    </w:p>
    <w:p>
      <w:pPr>
        <w:pStyle w:val="ListBullet"/>
        <w:spacing w:after="60"/>
      </w:pPr>
      <w:r>
        <w:rPr>
          <w:b/>
          <w:sz w:val="21"/>
        </w:rPr>
        <w:t xml:space="preserve">Cinco correos quedaron en error </w:t>
      </w:r>
      <w:r>
        <w:rPr>
          <w:sz w:val="21"/>
        </w:rPr>
        <w:t>al agotar los reintentos porque los buzones de prueba no existen en el servidor de correo.</w:t>
      </w:r>
    </w:p>
    <w:p>
      <w:pPr>
        <w:pStyle w:val="Heading1"/>
      </w:pPr>
      <w:r>
        <w:t>5. Acuerdos propuestos para el Sprint 6</w:t>
      </w:r>
    </w:p>
    <w:p>
      <w:pPr>
        <w:spacing w:after="120"/>
      </w:pPr>
      <w:r>
        <w:rPr>
          <w:b w:val="0"/>
          <w:i/>
          <w:sz w:val="19"/>
        </w:rPr>
        <w:t>Propuestos por el equipo; se ratifican en la reunión.</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737"/>
            <w:shd w:val="clear" w:color="auto" w:fill="E8E5F7"/>
          </w:tcPr>
          <w:p>
            <w:r/>
            <w:r>
              <w:rPr>
                <w:b/>
                <w:sz w:val="19"/>
              </w:rPr>
              <w:t>N.º</w:t>
            </w:r>
          </w:p>
        </w:tc>
        <w:tc>
          <w:tcPr>
            <w:tcW w:type="dxa" w:w="5216"/>
            <w:shd w:val="clear" w:color="auto" w:fill="E8E5F7"/>
          </w:tcPr>
          <w:p>
            <w:r/>
            <w:r>
              <w:rPr>
                <w:b/>
                <w:sz w:val="19"/>
              </w:rPr>
              <w:t>Acuerdo</w:t>
            </w:r>
          </w:p>
        </w:tc>
        <w:tc>
          <w:tcPr>
            <w:tcW w:type="dxa" w:w="1701"/>
            <w:shd w:val="clear" w:color="auto" w:fill="E8E5F7"/>
          </w:tcPr>
          <w:p>
            <w:r/>
            <w:r>
              <w:rPr>
                <w:b/>
                <w:sz w:val="19"/>
              </w:rPr>
              <w:t>Responsable</w:t>
            </w:r>
          </w:p>
        </w:tc>
        <w:tc>
          <w:tcPr>
            <w:tcW w:type="dxa" w:w="1984"/>
            <w:shd w:val="clear" w:color="auto" w:fill="E8E5F7"/>
          </w:tcPr>
          <w:p>
            <w:r/>
            <w:r>
              <w:rPr>
                <w:b/>
                <w:sz w:val="19"/>
              </w:rPr>
              <w:t>Cuándo se verifica</w:t>
            </w:r>
          </w:p>
        </w:tc>
      </w:tr>
      <w:tr>
        <w:tc>
          <w:tcPr>
            <w:tcW w:type="dxa" w:w="737"/>
          </w:tcPr>
          <w:p>
            <w:r/>
            <w:r>
              <w:rPr>
                <w:sz w:val="19"/>
              </w:rPr>
              <w:t>A18</w:t>
            </w:r>
          </w:p>
        </w:tc>
        <w:tc>
          <w:tcPr>
            <w:tcW w:type="dxa" w:w="5216"/>
          </w:tcPr>
          <w:p>
            <w:r/>
            <w:r>
              <w:rPr>
                <w:sz w:val="19"/>
              </w:rPr>
              <w:t>Nada se construye sin su historia en el Product Backlog: lo nuevo entra al planning o, si es urgente, se registra el mismo día</w:t>
            </w:r>
          </w:p>
        </w:tc>
        <w:tc>
          <w:tcPr>
            <w:tcW w:type="dxa" w:w="1701"/>
          </w:tcPr>
          <w:p>
            <w:r/>
            <w:r>
              <w:rPr>
                <w:sz w:val="19"/>
              </w:rPr>
              <w:t>Equipo</w:t>
            </w:r>
          </w:p>
        </w:tc>
        <w:tc>
          <w:tcPr>
            <w:tcW w:type="dxa" w:w="1984"/>
          </w:tcPr>
          <w:p>
            <w:r/>
            <w:r>
              <w:rPr>
                <w:sz w:val="19"/>
              </w:rPr>
              <w:t>Daily</w:t>
            </w:r>
          </w:p>
        </w:tc>
      </w:tr>
      <w:tr>
        <w:tc>
          <w:tcPr>
            <w:tcW w:type="dxa" w:w="737"/>
          </w:tcPr>
          <w:p>
            <w:r/>
            <w:r>
              <w:rPr>
                <w:sz w:val="19"/>
              </w:rPr>
              <w:t>A19</w:t>
            </w:r>
          </w:p>
        </w:tc>
        <w:tc>
          <w:tcPr>
            <w:tcW w:type="dxa" w:w="5216"/>
          </w:tcPr>
          <w:p>
            <w:r/>
            <w:r>
              <w:rPr>
                <w:sz w:val="19"/>
              </w:rPr>
              <w:t>El planning compara las horas tomadas con la capacidad y deja fuera lo que no cabe</w:t>
            </w:r>
          </w:p>
        </w:tc>
        <w:tc>
          <w:tcPr>
            <w:tcW w:type="dxa" w:w="1701"/>
          </w:tcPr>
          <w:p>
            <w:r/>
            <w:r>
              <w:rPr>
                <w:sz w:val="19"/>
              </w:rPr>
              <w:t>Scrum Master</w:t>
            </w:r>
          </w:p>
        </w:tc>
        <w:tc>
          <w:tcPr>
            <w:tcW w:type="dxa" w:w="1984"/>
          </w:tcPr>
          <w:p>
            <w:r/>
            <w:r>
              <w:rPr>
                <w:sz w:val="19"/>
              </w:rPr>
              <w:t>Planning del Sprint 6</w:t>
            </w:r>
          </w:p>
        </w:tc>
      </w:tr>
      <w:tr>
        <w:tc>
          <w:tcPr>
            <w:tcW w:type="dxa" w:w="737"/>
          </w:tcPr>
          <w:p>
            <w:r/>
            <w:r>
              <w:rPr>
                <w:sz w:val="19"/>
              </w:rPr>
              <w:t>A20</w:t>
            </w:r>
          </w:p>
        </w:tc>
        <w:tc>
          <w:tcPr>
            <w:tcW w:type="dxa" w:w="5216"/>
          </w:tcPr>
          <w:p>
            <w:r/>
            <w:r>
              <w:rPr>
                <w:sz w:val="19"/>
              </w:rPr>
              <w:t>La evidencia visual de cada historia web se toma al terminarla, no al cierre del sprint</w:t>
            </w:r>
          </w:p>
        </w:tc>
        <w:tc>
          <w:tcPr>
            <w:tcW w:type="dxa" w:w="1701"/>
          </w:tcPr>
          <w:p>
            <w:r/>
            <w:r>
              <w:rPr>
                <w:sz w:val="19"/>
              </w:rPr>
              <w:t>Equipo</w:t>
            </w:r>
          </w:p>
        </w:tc>
        <w:tc>
          <w:tcPr>
            <w:tcW w:type="dxa" w:w="1984"/>
          </w:tcPr>
          <w:p>
            <w:r/>
            <w:r>
              <w:rPr>
                <w:sz w:val="19"/>
              </w:rPr>
              <w:t>Daily, al mover el estado</w:t>
            </w:r>
          </w:p>
        </w:tc>
      </w:tr>
      <w:tr>
        <w:tc>
          <w:tcPr>
            <w:tcW w:type="dxa" w:w="737"/>
          </w:tcPr>
          <w:p>
            <w:r/>
            <w:r>
              <w:rPr>
                <w:sz w:val="19"/>
              </w:rPr>
              <w:t>A21</w:t>
            </w:r>
          </w:p>
        </w:tc>
        <w:tc>
          <w:tcPr>
            <w:tcW w:type="dxa" w:w="5216"/>
          </w:tcPr>
          <w:p>
            <w:r/>
            <w:r>
              <w:rPr>
                <w:sz w:val="19"/>
              </w:rPr>
              <w:t>La web pendiente (lo que falta de SIGMA AI, el análisis visual y los criterios de importación) se planifica antes que lo móvil para no dejar la web a medias</w:t>
            </w:r>
          </w:p>
        </w:tc>
        <w:tc>
          <w:tcPr>
            <w:tcW w:type="dxa" w:w="1701"/>
          </w:tcPr>
          <w:p>
            <w:r/>
            <w:r>
              <w:rPr>
                <w:sz w:val="19"/>
              </w:rPr>
              <w:t>Product Owner</w:t>
            </w:r>
          </w:p>
        </w:tc>
        <w:tc>
          <w:tcPr>
            <w:tcW w:type="dxa" w:w="1984"/>
          </w:tcPr>
          <w:p>
            <w:r/>
            <w:r>
              <w:rPr>
                <w:sz w:val="19"/>
              </w:rPr>
              <w:t>Planning del Sprint 6</w:t>
            </w:r>
          </w:p>
        </w:tc>
      </w:tr>
      <w:tr>
        <w:tc>
          <w:tcPr>
            <w:tcW w:type="dxa" w:w="737"/>
          </w:tcPr>
          <w:p>
            <w:r/>
            <w:r>
              <w:rPr>
                <w:sz w:val="19"/>
              </w:rPr>
              <w:t>A22</w:t>
            </w:r>
          </w:p>
        </w:tc>
        <w:tc>
          <w:tcPr>
            <w:tcW w:type="dxa" w:w="5216"/>
          </w:tcPr>
          <w:p>
            <w:r/>
            <w:r>
              <w:rPr>
                <w:sz w:val="19"/>
              </w:rPr>
              <w:t>Los pasos de producción (clave de jobs, migraciones, publicación) llevan responsable y fecha</w:t>
            </w:r>
          </w:p>
        </w:tc>
        <w:tc>
          <w:tcPr>
            <w:tcW w:type="dxa" w:w="1701"/>
          </w:tcPr>
          <w:p>
            <w:r/>
            <w:r>
              <w:rPr>
                <w:sz w:val="19"/>
              </w:rPr>
              <w:t>Bryan Chávez</w:t>
            </w:r>
          </w:p>
        </w:tc>
        <w:tc>
          <w:tcPr>
            <w:tcW w:type="dxa" w:w="1984"/>
          </w:tcPr>
          <w:p>
            <w:r/>
            <w:r>
              <w:rPr>
                <w:sz w:val="19"/>
              </w:rPr>
              <w:t>Antes de la Review final</w:t>
            </w:r>
          </w:p>
        </w:tc>
      </w:tr>
    </w:tbl>
    <w:p>
      <w:pPr>
        <w:spacing w:after="40"/>
      </w:pPr>
    </w:p>
    <w:p>
      <w:pPr>
        <w:pStyle w:val="Heading1"/>
      </w:pPr>
      <w:r>
        <w:t>6. Ajustes a la Definition of Done</w:t>
      </w:r>
    </w:p>
    <w:p>
      <w:pPr>
        <w:pStyle w:val="ListBullet"/>
        <w:spacing w:after="60"/>
      </w:pPr>
      <w:r>
        <w:rPr>
          <w:b/>
          <w:sz w:val="21"/>
        </w:rPr>
        <w:t xml:space="preserve">Se agrega: </w:t>
      </w:r>
      <w:r>
        <w:rPr>
          <w:sz w:val="21"/>
        </w:rPr>
        <w:t>toda historia terminada está en el Product Backlog y en el Sprint Backlog antes de su construcción (acuerdo A18).</w:t>
      </w:r>
    </w:p>
    <w:p>
      <w:pPr>
        <w:pStyle w:val="ListBullet"/>
        <w:spacing w:after="60"/>
      </w:pPr>
      <w:r>
        <w:rPr>
          <w:b/>
          <w:sz w:val="21"/>
        </w:rPr>
        <w:t xml:space="preserve">Se agrega: </w:t>
      </w:r>
      <w:r>
        <w:rPr>
          <w:sz w:val="21"/>
        </w:rPr>
        <w:t>la evidencia visual de una historia web queda en el manifiesto del sprint el día en que se termina (acuerdo A20).</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