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REVIEW · SPRINT 5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revisión del incremento con el cliente · Sprint 5 «Ejecución» (28-10-2026 al 10-11-2026)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Review (Guía Scrum 2020): inspección del Incremento y adaptación del Product Backlog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5 · Ejecución · del 28-10-2026 al 10-11-2026 · 26 historias terminadas · 150 puntos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10-11-2026 (cierre del Sprint 5) · 1,5 h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Lugar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Sala de reuniones de Hamburgo S.A., Planta Renca · videollamada para el equipo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(Scrum Master)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Presenta el incremento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Bryan Chávez, Emilio Fuentes y Catalina Pescio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</w:tbl>
    <w:p>
      <w:pPr>
        <w:spacing w:after="40"/>
      </w:pPr>
    </w:p>
    <w:p>
      <w:pPr>
        <w:pStyle w:val="Heading1"/>
      </w:pPr>
      <w:r>
        <w:t>1. Asistentes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9"/>
              </w:rPr>
              <w:t>Organización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El equipo de Código Creativo presenta el incremento. La asistencia de los dos representantes de Hamburgo S.A. se anota al firmar el acta.</w:t>
      </w:r>
    </w:p>
    <w:p>
      <w:pPr>
        <w:pStyle w:val="Heading1"/>
      </w:pPr>
      <w:r>
        <w:t>2. Objetivo del Sprint</w:t>
      </w:r>
    </w:p>
    <w:p>
      <w:pPr>
        <w:spacing w:after="120"/>
      </w:pPr>
      <w:r>
        <w:rPr>
          <w:b w:val="0"/>
          <w:i w:val="0"/>
          <w:sz w:val="22"/>
        </w:rPr>
        <w:t>«Ejecución»: que la orden de trabajo recorra su ciclo completo en la web —creación, asignación, ejecución, cierre con firmas e impresión—, con sus servicios contratados, fallas, evidencias y bitácora. Durante el sprint se sumó, por decisión del equipo, lo comercial y de plataforma que Hamburgo necesitaba para operar: centro comercial con cobros, procesos automáticos, correo con reintentos, soporte, SIGMA Twin y carga de datos.</w:t>
      </w:r>
    </w:p>
    <w:p>
      <w:pPr>
        <w:pStyle w:val="Heading1"/>
      </w:pPr>
      <w:r>
        <w:t>3. Incremento presentado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Cifra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Historias terminadas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26 · 150 puntos (14 del backlog original y 12 nuevas, EP-21 y afines, con 78 puntos)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Historias movidas al Sprint 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12 · 76 puntos (la parte móvil de Órdenes, Bitácora, sincronización y voz)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Tareas terminadas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230 de 384 (el resto son las 153 movidas al Sprint 6 y 1 descartada)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Casos de prueba ejecutados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98 sobre 32 historias, todos conformes</w:t>
            </w:r>
          </w:p>
        </w:tc>
      </w:tr>
    </w:tbl>
    <w:p>
      <w:pPr>
        <w:spacing w:after="40"/>
      </w:pPr>
    </w:p>
    <w:p>
      <w:pPr>
        <w:pStyle w:val="Heading2"/>
      </w:pPr>
      <w:r>
        <w:t>3.1 Lo que se muestra funcionando</w:t>
      </w:r>
    </w:p>
    <w:p>
      <w:pPr>
        <w:pStyle w:val="ListBullet"/>
        <w:spacing w:after="60"/>
      </w:pPr>
      <w:r>
        <w:rPr>
          <w:b/>
          <w:sz w:val="21"/>
        </w:rPr>
        <w:t xml:space="preserve">Órdenes de trabajo (EP-12): </w:t>
      </w:r>
      <w:r>
        <w:rPr>
          <w:sz w:val="21"/>
        </w:rPr>
        <w:t>lista y ficha de cinco pestañas, creación correctiva y desde la ocurrencia de un plan, asignación a personas, grupos y empresas externas, servicios contratados con informe obligatorio y total por moneda, indisponibilidad del equipo, cierre con las tres firmas dibujadas e impresión en hoja A4.</w:t>
      </w:r>
    </w:p>
    <w:p>
      <w:pPr>
        <w:pStyle w:val="ListBullet"/>
        <w:spacing w:after="60"/>
      </w:pPr>
      <w:r>
        <w:rPr>
          <w:b/>
          <w:sz w:val="21"/>
        </w:rPr>
        <w:t xml:space="preserve">Evidencias, bitácora y accesibilidad (EP-14, EP-13, EP-16): </w:t>
      </w:r>
      <w:r>
        <w:rPr>
          <w:sz w:val="21"/>
        </w:rPr>
        <w:t>galería por paso y momento, imágenes de referencia en actividades y pautas, rectificación de la bitácora con el original tachado y pantalla de preferencias de accesibilidad.</w:t>
      </w:r>
    </w:p>
    <w:p>
      <w:pPr>
        <w:pStyle w:val="ListBullet"/>
        <w:spacing w:after="60"/>
      </w:pPr>
      <w:r>
        <w:rPr>
          <w:b/>
          <w:sz w:val="21"/>
        </w:rPr>
        <w:t xml:space="preserve">Centro Comercial (EP-21): </w:t>
      </w:r>
      <w:r>
        <w:rPr>
          <w:sz w:val="21"/>
        </w:rPr>
        <w:t>del lead al contrato firmado, cobro en UF o USD por Webpay o transferencia, Mi suscripción para el cliente y clientes de otros países. Probado de punta a punta con Hamburgo SA.</w:t>
      </w:r>
    </w:p>
    <w:p>
      <w:pPr>
        <w:pStyle w:val="ListBullet"/>
        <w:spacing w:after="60"/>
      </w:pPr>
      <w:r>
        <w:rPr>
          <w:b/>
          <w:sz w:val="21"/>
        </w:rPr>
        <w:t xml:space="preserve">Procesos automáticos y correo (EP-21): </w:t>
      </w:r>
      <w:r>
        <w:rPr>
          <w:sz w:val="21"/>
        </w:rPr>
        <w:t>ocurrencias y órdenes automáticas cada hora, cobros, alertas y vencimiento de demos, con correo por cola con reintentos y copia oculta de monitoreo.</w:t>
      </w:r>
    </w:p>
    <w:p>
      <w:pPr>
        <w:pStyle w:val="ListBullet"/>
        <w:spacing w:after="60"/>
      </w:pPr>
      <w:r>
        <w:rPr>
          <w:b/>
          <w:sz w:val="21"/>
        </w:rPr>
        <w:t xml:space="preserve">Soporte y ayuda (EP-21): </w:t>
      </w:r>
      <w:r>
        <w:rPr>
          <w:sz w:val="21"/>
        </w:rPr>
        <w:t>reportar un problema desde cualquier pantalla, ayuda contextual, tickets con plazos y campañas segmentadas.</w:t>
      </w:r>
    </w:p>
    <w:p>
      <w:pPr>
        <w:pStyle w:val="ListBullet"/>
        <w:spacing w:after="60"/>
      </w:pPr>
      <w:r>
        <w:rPr>
          <w:b/>
          <w:sz w:val="21"/>
        </w:rPr>
        <w:t xml:space="preserve">SIGMA Twin y Centro de carga de datos (EP-06, EP-20): </w:t>
      </w:r>
      <w:r>
        <w:rPr>
          <w:sz w:val="21"/>
        </w:rPr>
        <w:t>bodegas en 3D con picking y conteo cíclico; carga masiva desde Excel de Inventario, Activos y Mantenimiento con revisión previa. Material de apoyo: tres manuales de flujo con capturas.</w:t>
      </w:r>
    </w:p>
    <w:p>
      <w:pPr>
        <w:pStyle w:val="Heading2"/>
      </w:pPr>
      <w:r>
        <w:t>3.2 Lo que no se entrega en este Sprint</w:t>
      </w:r>
    </w:p>
    <w:p>
      <w:pPr>
        <w:spacing w:after="120"/>
      </w:pPr>
      <w:r>
        <w:rPr>
          <w:b w:val="0"/>
          <w:i w:val="0"/>
          <w:sz w:val="22"/>
        </w:rPr>
        <w:t>Doce historias se mueven al Sprint 6 por ser de superficie móvil: bandeja y toma de órdenes en terreno, ejecución de pasos, consumo de repuestos, mano de obra, finalización, sincronización sin conexión (HU-152, 153, 155, 156), bitácora en terreno (HU-130) y lectura en voz alta (HU-161). Es consistente con el cambio de alcance pedido en la Review 1: la aplicación móvil se entrega en el Sprint 6.</w:t>
      </w:r>
    </w:p>
    <w:p>
      <w:pPr>
        <w:pStyle w:val="Heading1"/>
      </w:pPr>
      <w:r>
        <w:t>4. Retroalimentación del cliente registrada durante el sprint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9"/>
              </w:rPr>
              <w:t>Tema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Origen</w:t>
            </w:r>
          </w:p>
        </w:tc>
        <w:tc>
          <w:tcPr>
            <w:tcW w:type="dxa" w:w="5272"/>
            <w:shd w:val="clear" w:color="auto" w:fill="E8E5F7"/>
          </w:tcPr>
          <w:p>
            <w:r/>
            <w:r>
              <w:rPr>
                <w:b/>
                <w:sz w:val="19"/>
              </w:rPr>
              <w:t>Qué se pidió y cómo quedó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Menús y «tras menús»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Revisión del cliente (04-10-2026)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Dijo que lo lento eran los menús y los menús dentro de menús. El equipo ocultó los cinco menús de configuración de activos y llevó todo al centro de activos 360° con un solo asistente.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Perfiles dinámicos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Regla del cliente (09-10-2026)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Cada cliente define sus perfiles: ningún texto de la interfaz nombra «supervisor» ni «técnico». La facultad de cerrar una OT se pregunta a la base (FNC_USUARIO_PUEDE_CERRAR_OT) y no a un perfil fijo.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Sin espacios muertos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Pedido del cliente (09-10-2026)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Las pantallas del Centro de Operación no deben dejar espacios vacíos: las tarjetas se acomodan en mampostería y se ordenan por alto.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Ronda de pruebas del cliente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Ronda del 10-10-2026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Arreglos de medidor, menú del plan y «Guardar igual»; ver en la web lo ejecutado en la app; nueva tarea con categoría creable; lanzador de SIGMA AI y SIGMA Twin.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Cobros y contacto de cobro de Hamburgo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Bryan Chávez (16-10-2026)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El contacto de cobro de Hamburgo vuelve a ser el del cliente, y el equipo recibe copia oculta de todo lo que sale (CorreoMonitorearA) en lugar de redirigir los correos.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Estos son los comentarios del cliente que el equipo registró durante el sprint. Lo que el cliente diga en la reunión se agrega al firmar el acta.</w:t>
      </w:r>
    </w:p>
    <w:p>
      <w:pPr>
        <w:pStyle w:val="Heading1"/>
      </w:pPr>
      <w:r>
        <w:t>5. Decisiones</w:t>
      </w:r>
    </w:p>
    <w:p>
      <w:pPr>
        <w:pStyle w:val="ListBullet"/>
        <w:spacing w:after="60"/>
      </w:pPr>
      <w:r>
        <w:rPr>
          <w:b/>
          <w:sz w:val="21"/>
        </w:rPr>
        <w:t xml:space="preserve">Se aceptan las </w:t>
      </w:r>
      <w:r>
        <w:rPr>
          <w:sz w:val="21"/>
        </w:rPr>
        <w:t>12 historias nuevas del Product Backlog (EP-21, HU-220 y HU-221) como terminadas en el Sprint 5, con sus criterios verificados.</w:t>
      </w:r>
    </w:p>
    <w:p>
      <w:pPr>
        <w:pStyle w:val="ListBullet"/>
        <w:spacing w:after="60"/>
      </w:pPr>
      <w:r>
        <w:rPr>
          <w:b/>
          <w:sz w:val="21"/>
        </w:rPr>
        <w:t xml:space="preserve">La web pendiente </w:t>
      </w:r>
      <w:r>
        <w:rPr>
          <w:sz w:val="21"/>
        </w:rPr>
        <w:t>(lo que falta de SIGMA AI, el análisis visual y los criterios de importación) se planifica antes que la aplicación móvil para no dejar la web a medias.</w:t>
      </w:r>
    </w:p>
    <w:p>
      <w:pPr>
        <w:pStyle w:val="ListBullet"/>
        <w:spacing w:after="60"/>
      </w:pPr>
      <w:r>
        <w:rPr>
          <w:b/>
          <w:sz w:val="21"/>
        </w:rPr>
        <w:t xml:space="preserve">El paso a producción </w:t>
      </w:r>
      <w:r>
        <w:rPr>
          <w:sz w:val="21"/>
        </w:rPr>
        <w:t>del Centro Comercial y de los procesos automáticos queda sujeto a tres pasos manuales: la clave de los jobs en la configuración, las migraciones pendientes y la publicación del sitio.</w:t>
      </w:r>
    </w:p>
    <w:p>
      <w:pPr>
        <w:pStyle w:val="Heading1"/>
      </w:pPr>
      <w:r>
        <w:t>6. Estado del Product Backlog después de la Review</w:t>
      </w:r>
    </w:p>
    <w:p>
      <w:pPr>
        <w:spacing w:after="120"/>
      </w:pPr>
      <w:r>
        <w:rPr>
          <w:b w:val="0"/>
          <w:i w:val="0"/>
          <w:sz w:val="22"/>
        </w:rPr>
        <w:t>El Sprint 5 cierra con 26 historias terminadas y sus criterios de aceptación verificados. El Product Backlog crece de 138 a 150 historias y de 20 a 21 épicas con lo construido fuera del plan original; las 12 movidas quedan registradas en el Sprint 6 con sus tareas.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