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2"/>
        </w:rPr>
        <w:t>PLAN DE PRUEBAS</w:t>
      </w:r>
    </w:p>
    <w:p>
      <w:pPr>
        <w:spacing w:after="40"/>
      </w:pPr>
      <w:r>
        <w:rPr>
          <w:b w:val="0"/>
          <w:i w:val="0"/>
          <w:sz w:val="26"/>
        </w:rPr>
        <w:t>SIGMA · Sistema Integrado de Gestión de Mantenimiento Industrial</w:t>
      </w:r>
    </w:p>
    <w:p>
      <w:pPr>
        <w:spacing w:after="240"/>
      </w:pPr>
      <w:r>
        <w:rPr>
          <w:b w:val="0"/>
          <w:i w:val="0"/>
          <w:color w:val="555555"/>
          <w:sz w:val="22"/>
        </w:rPr>
        <w:t>Estrategia de verificación del producto · SIGMA · Sistema Integrado de Gestión de Mantenimiento Industrial · Fase 2</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Documento</w:t>
            </w:r>
          </w:p>
        </w:tc>
        <w:tc>
          <w:tcPr>
            <w:tcW w:type="dxa" w:w="6803"/>
          </w:tcPr>
          <w:p>
            <w:r/>
            <w:r>
              <w:rPr>
                <w:sz w:val="20"/>
              </w:rPr>
              <w:t>Plan de Pruebas — entregable obligatorio de Fase 2</w:t>
            </w:r>
          </w:p>
        </w:tc>
      </w:tr>
      <w:tr>
        <w:tc>
          <w:tcPr>
            <w:tcW w:type="dxa" w:w="2551"/>
            <w:shd w:val="clear" w:color="auto" w:fill="F3F1FB"/>
          </w:tcPr>
          <w:p>
            <w:r/>
            <w:r>
              <w:rPr>
                <w:b/>
                <w:sz w:val="20"/>
              </w:rPr>
              <w:t>Qué define</w:t>
            </w:r>
          </w:p>
        </w:tc>
        <w:tc>
          <w:tcPr>
            <w:tcW w:type="dxa" w:w="6803"/>
          </w:tcPr>
          <w:p>
            <w:r/>
            <w:r>
              <w:rPr>
                <w:sz w:val="20"/>
              </w:rPr>
              <w:t>Qué se prueba en SIGMA, en qué nivel, con qué herramienta, con qué datos, quién lo hace y cuándo se considera aprobado</w:t>
            </w:r>
          </w:p>
        </w:tc>
      </w:tr>
      <w:tr>
        <w:tc>
          <w:tcPr>
            <w:tcW w:type="dxa" w:w="2551"/>
            <w:shd w:val="clear" w:color="auto" w:fill="F3F1FB"/>
          </w:tcPr>
          <w:p>
            <w:r/>
            <w:r>
              <w:rPr>
                <w:b/>
                <w:sz w:val="20"/>
              </w:rPr>
              <w:t>Qué no es</w:t>
            </w:r>
          </w:p>
        </w:tc>
        <w:tc>
          <w:tcPr>
            <w:tcW w:type="dxa" w:w="6803"/>
          </w:tcPr>
          <w:p>
            <w:r/>
            <w:r>
              <w:rPr>
                <w:sz w:val="20"/>
              </w:rPr>
              <w:t>No es el resultado de las pruebas: eso vive en los informes de pruebas por sprint, uno por cada uno de los seis, con la evidencia caso por caso</w:t>
            </w:r>
          </w:p>
        </w:tc>
      </w:tr>
      <w:tr>
        <w:tc>
          <w:tcPr>
            <w:tcW w:type="dxa" w:w="2551"/>
            <w:shd w:val="clear" w:color="auto" w:fill="F3F1FB"/>
          </w:tcPr>
          <w:p>
            <w:r/>
            <w:r>
              <w:rPr>
                <w:b/>
                <w:sz w:val="20"/>
              </w:rPr>
              <w:t>Alcance</w:t>
            </w:r>
          </w:p>
        </w:tc>
        <w:tc>
          <w:tcPr>
            <w:tcW w:type="dxa" w:w="6803"/>
          </w:tcPr>
          <w:p>
            <w:r/>
            <w:r>
              <w:rPr>
                <w:sz w:val="20"/>
              </w:rPr>
              <w:t>Los tres componentes del producto: la Intranet, la API y la app móvil, más la base de datos</w:t>
            </w:r>
          </w:p>
        </w:tc>
      </w:tr>
      <w:tr>
        <w:tc>
          <w:tcPr>
            <w:tcW w:type="dxa" w:w="2551"/>
            <w:shd w:val="clear" w:color="auto" w:fill="F3F1FB"/>
          </w:tcPr>
          <w:p>
            <w:r/>
            <w:r>
              <w:rPr>
                <w:b/>
                <w:sz w:val="20"/>
              </w:rPr>
              <w:t>Responsable</w:t>
            </w:r>
          </w:p>
        </w:tc>
        <w:tc>
          <w:tcPr>
            <w:tcW w:type="dxa" w:w="6803"/>
          </w:tcPr>
          <w:p>
            <w:r/>
            <w:r>
              <w:rPr>
                <w:sz w:val="20"/>
              </w:rPr>
              <w:t>Bryan Chávez (Developer) · la Product Owner valida la aceptación funcional</w:t>
            </w:r>
          </w:p>
        </w:tc>
      </w:tr>
      <w:tr>
        <w:tc>
          <w:tcPr>
            <w:tcW w:type="dxa" w:w="2551"/>
            <w:shd w:val="clear" w:color="auto" w:fill="F3F1FB"/>
          </w:tcPr>
          <w:p>
            <w:r/>
            <w:r>
              <w:rPr>
                <w:b/>
                <w:sz w:val="20"/>
              </w:rPr>
              <w:t>Versión</w:t>
            </w:r>
          </w:p>
        </w:tc>
        <w:tc>
          <w:tcPr>
            <w:tcW w:type="dxa" w:w="6803"/>
          </w:tcPr>
          <w:p>
            <w:r/>
            <w:r>
              <w:rPr>
                <w:sz w:val="20"/>
              </w:rPr>
              <w:t>1.1 · 01-10-2026</w:t>
            </w:r>
          </w:p>
        </w:tc>
      </w:tr>
    </w:tbl>
    <w:p>
      <w:pPr>
        <w:spacing w:after="40"/>
      </w:pPr>
    </w:p>
    <w:p>
      <w:pPr>
        <w:pStyle w:val="Heading1"/>
      </w:pPr>
      <w:r>
        <w:t>1. Objetivo y principios</w:t>
      </w:r>
    </w:p>
    <w:p>
      <w:pPr>
        <w:spacing w:after="120"/>
      </w:pPr>
      <w:r>
        <w:rPr>
          <w:b w:val="0"/>
          <w:i w:val="0"/>
          <w:sz w:val="22"/>
        </w:rPr>
        <w:t>El objetivo de las pruebas en SIGMA es que cada historia de usuario haga lo que su criterio de aceptación dice que hace, y que lo siga haciendo cuando se construya la siguiente. No se persigue un porcentaje de cobertura: se persigue que ningún criterio de aceptación quede sin una prueba que lo ejercite.</w:t>
      </w:r>
    </w:p>
    <w:p>
      <w:pPr>
        <w:spacing w:after="120"/>
      </w:pPr>
      <w:r>
        <w:rPr>
          <w:b w:val="0"/>
          <w:i w:val="0"/>
          <w:sz w:val="22"/>
        </w:rPr>
        <w:t>Cuatro principios ordenan todo lo demás:</w:t>
      </w:r>
    </w:p>
    <w:p>
      <w:pPr>
        <w:pStyle w:val="ListBullet"/>
        <w:spacing w:after="60"/>
      </w:pPr>
      <w:r>
        <w:rPr>
          <w:b/>
          <w:sz w:val="21"/>
        </w:rPr>
        <w:t xml:space="preserve">Un criterio de aceptación, un caso de prueba. </w:t>
      </w:r>
      <w:r>
        <w:rPr>
          <w:sz w:val="21"/>
        </w:rPr>
        <w:t>La unidad de verificación no es la función ni la pantalla: es el criterio escrito en el Sprint Backlog. Si un criterio no tiene caso, la historia no está terminada.</w:t>
      </w:r>
    </w:p>
    <w:p>
      <w:pPr>
        <w:pStyle w:val="ListBullet"/>
        <w:spacing w:after="60"/>
      </w:pPr>
      <w:r>
        <w:rPr>
          <w:b/>
          <w:sz w:val="21"/>
        </w:rPr>
        <w:t xml:space="preserve">La prueba se ejecuta, no se declara. </w:t>
      </w:r>
      <w:r>
        <w:rPr>
          <w:sz w:val="21"/>
        </w:rPr>
        <w:t>Un caso vale cuando hay una corrida real con su evidencia; marcar «probado» a mano no es una prueba.</w:t>
      </w:r>
    </w:p>
    <w:p>
      <w:pPr>
        <w:pStyle w:val="ListBullet"/>
        <w:spacing w:after="60"/>
      </w:pPr>
      <w:r>
        <w:rPr>
          <w:b/>
          <w:sz w:val="21"/>
        </w:rPr>
        <w:t xml:space="preserve">Se prueba donde vive la regla. </w:t>
      </w:r>
      <w:r>
        <w:rPr>
          <w:sz w:val="21"/>
        </w:rPr>
        <w:t>Si la regla de negocio está en el procedimiento almacenado, se prueba contra la base; si está en el servidor, se prueba sin pasar por la pantalla. Probar una regla de servidor solo desde la interfaz da un falso positivo: la pantalla puede ocultar un botón que el servidor igual acepta.</w:t>
      </w:r>
    </w:p>
    <w:p>
      <w:pPr>
        <w:pStyle w:val="ListBullet"/>
        <w:spacing w:after="60"/>
      </w:pPr>
      <w:r>
        <w:rPr>
          <w:b/>
          <w:sz w:val="21"/>
        </w:rPr>
        <w:t xml:space="preserve">Un defecto encontrado se convierte en caso. </w:t>
      </w:r>
      <w:r>
        <w:rPr>
          <w:sz w:val="21"/>
        </w:rPr>
        <w:t>Cuando aparece un defecto, se corrige y se agrega el caso que lo habría detectado, para que no vuelva.</w:t>
      </w:r>
    </w:p>
    <w:p>
      <w:pPr>
        <w:pStyle w:val="Heading1"/>
      </w:pPr>
      <w:r>
        <w:t>2. Niveles de prueba</w:t>
      </w:r>
    </w:p>
    <w:p>
      <w:pPr>
        <w:spacing w:after="120"/>
      </w:pPr>
      <w:r>
        <w:rPr>
          <w:b w:val="0"/>
          <w:i w:val="0"/>
          <w:sz w:val="22"/>
        </w:rPr>
        <w:t>SIGMA se verifica en cuatro niveles. Cada uno responde una pregunta distinta y ninguno sustituye a otro.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1474"/>
            <w:shd w:val="clear" w:color="auto" w:fill="E8E5F7"/>
          </w:tcPr>
          <w:p>
            <w:r/>
            <w:r>
              <w:rPr>
                <w:b/>
                <w:sz w:val="19"/>
              </w:rPr>
              <w:t>Nivel</w:t>
            </w:r>
          </w:p>
        </w:tc>
        <w:tc>
          <w:tcPr>
            <w:tcW w:type="dxa" w:w="1928"/>
            <w:shd w:val="clear" w:color="auto" w:fill="E8E5F7"/>
          </w:tcPr>
          <w:p>
            <w:r/>
            <w:r>
              <w:rPr>
                <w:b/>
                <w:sz w:val="19"/>
              </w:rPr>
              <w:t>Qué responde</w:t>
            </w:r>
          </w:p>
        </w:tc>
        <w:tc>
          <w:tcPr>
            <w:tcW w:type="dxa" w:w="4649"/>
            <w:shd w:val="clear" w:color="auto" w:fill="E8E5F7"/>
          </w:tcPr>
          <w:p>
            <w:r/>
            <w:r>
              <w:rPr>
                <w:b/>
                <w:sz w:val="19"/>
              </w:rPr>
              <w:t>Dónde se aplica en SIGMA</w:t>
            </w:r>
          </w:p>
        </w:tc>
        <w:tc>
          <w:tcPr>
            <w:tcW w:type="dxa" w:w="1587"/>
            <w:shd w:val="clear" w:color="auto" w:fill="E8E5F7"/>
          </w:tcPr>
          <w:p>
            <w:r/>
            <w:r>
              <w:rPr>
                <w:b/>
                <w:sz w:val="19"/>
              </w:rPr>
              <w:t>Quién</w:t>
            </w:r>
          </w:p>
        </w:tc>
      </w:tr>
      <w:tr>
        <w:tc>
          <w:tcPr>
            <w:tcW w:type="dxa" w:w="1474"/>
          </w:tcPr>
          <w:p>
            <w:r/>
            <w:r>
              <w:rPr>
                <w:sz w:val="19"/>
              </w:rPr>
              <w:t>Unitario</w:t>
            </w:r>
          </w:p>
        </w:tc>
        <w:tc>
          <w:tcPr>
            <w:tcW w:type="dxa" w:w="1928"/>
          </w:tcPr>
          <w:p>
            <w:r/>
            <w:r>
              <w:rPr>
                <w:sz w:val="19"/>
              </w:rPr>
              <w:t>¿Esta pieza, aislada, calcula bien?</w:t>
            </w:r>
          </w:p>
        </w:tc>
        <w:tc>
          <w:tcPr>
            <w:tcW w:type="dxa" w:w="4649"/>
          </w:tcPr>
          <w:p>
            <w:r/>
            <w:r>
              <w:rPr>
                <w:sz w:val="19"/>
              </w:rPr>
              <w:t>App móvil: lógica de cache y cola de sincronización, normalización de voz, escalado de interfaz, cálculo de tramos de tiempo. API: puntuación del modelo y cálculos sin dependencia de base</w:t>
            </w:r>
          </w:p>
        </w:tc>
        <w:tc>
          <w:tcPr>
            <w:tcW w:type="dxa" w:w="1587"/>
          </w:tcPr>
          <w:p>
            <w:r/>
            <w:r>
              <w:rPr>
                <w:sz w:val="19"/>
              </w:rPr>
              <w:t>Quien desarrolla la pieza</w:t>
            </w:r>
          </w:p>
        </w:tc>
      </w:tr>
      <w:tr>
        <w:tc>
          <w:tcPr>
            <w:tcW w:type="dxa" w:w="1474"/>
          </w:tcPr>
          <w:p>
            <w:r/>
            <w:r>
              <w:rPr>
                <w:sz w:val="19"/>
              </w:rPr>
              <w:t>Integración</w:t>
            </w:r>
          </w:p>
        </w:tc>
        <w:tc>
          <w:tcPr>
            <w:tcW w:type="dxa" w:w="1928"/>
          </w:tcPr>
          <w:p>
            <w:r/>
            <w:r>
              <w:rPr>
                <w:sz w:val="19"/>
              </w:rPr>
              <w:t>¿Las piezas hablan bien entre sí?</w:t>
            </w:r>
          </w:p>
        </w:tc>
        <w:tc>
          <w:tcPr>
            <w:tcW w:type="dxa" w:w="4649"/>
          </w:tcPr>
          <w:p>
            <w:r/>
            <w:r>
              <w:rPr>
                <w:sz w:val="19"/>
              </w:rPr>
              <w:t>Procedimientos almacenados contra la base real (transacciones, reglas de negocio, aislamiento por cliente) y endpoints de la API contra la base</w:t>
            </w:r>
          </w:p>
        </w:tc>
        <w:tc>
          <w:tcPr>
            <w:tcW w:type="dxa" w:w="1587"/>
          </w:tcPr>
          <w:p>
            <w:r/>
            <w:r>
              <w:rPr>
                <w:sz w:val="19"/>
              </w:rPr>
              <w:t>Quien desarrolla la historia</w:t>
            </w:r>
          </w:p>
        </w:tc>
      </w:tr>
      <w:tr>
        <w:tc>
          <w:tcPr>
            <w:tcW w:type="dxa" w:w="1474"/>
          </w:tcPr>
          <w:p>
            <w:r/>
            <w:r>
              <w:rPr>
                <w:sz w:val="19"/>
              </w:rPr>
              <w:t>Sistema / aceptación</w:t>
            </w:r>
          </w:p>
        </w:tc>
        <w:tc>
          <w:tcPr>
            <w:tcW w:type="dxa" w:w="1928"/>
          </w:tcPr>
          <w:p>
            <w:r/>
            <w:r>
              <w:rPr>
                <w:sz w:val="19"/>
              </w:rPr>
              <w:t>¿La historia hace lo que su criterio dice?</w:t>
            </w:r>
          </w:p>
        </w:tc>
        <w:tc>
          <w:tcPr>
            <w:tcW w:type="dxa" w:w="4649"/>
          </w:tcPr>
          <w:p>
            <w:r/>
            <w:r>
              <w:rPr>
                <w:sz w:val="19"/>
              </w:rPr>
              <w:t>Recorrido completo por la interfaz de la Intranet y por la API, con un usuario real de cada perfil</w:t>
            </w:r>
          </w:p>
        </w:tc>
        <w:tc>
          <w:tcPr>
            <w:tcW w:type="dxa" w:w="1587"/>
          </w:tcPr>
          <w:p>
            <w:r/>
            <w:r>
              <w:rPr>
                <w:sz w:val="19"/>
              </w:rPr>
              <w:t>Quien desarrolla la historia; la Product Owner valida</w:t>
            </w:r>
          </w:p>
        </w:tc>
      </w:tr>
      <w:tr>
        <w:tc>
          <w:tcPr>
            <w:tcW w:type="dxa" w:w="1474"/>
          </w:tcPr>
          <w:p>
            <w:r/>
            <w:r>
              <w:rPr>
                <w:sz w:val="19"/>
              </w:rPr>
              <w:t>Regresión</w:t>
            </w:r>
          </w:p>
        </w:tc>
        <w:tc>
          <w:tcPr>
            <w:tcW w:type="dxa" w:w="1928"/>
          </w:tcPr>
          <w:p>
            <w:r/>
            <w:r>
              <w:rPr>
                <w:sz w:val="19"/>
              </w:rPr>
              <w:t>¿Lo que ya funcionaba sigue funcionando?</w:t>
            </w:r>
          </w:p>
        </w:tc>
        <w:tc>
          <w:tcPr>
            <w:tcW w:type="dxa" w:w="4649"/>
          </w:tcPr>
          <w:p>
            <w:r/>
            <w:r>
              <w:rPr>
                <w:sz w:val="19"/>
              </w:rPr>
              <w:t>Reejecución del conjunto de casos de los sprints anteriores antes de cerrar cada sprint</w:t>
            </w:r>
          </w:p>
        </w:tc>
        <w:tc>
          <w:tcPr>
            <w:tcW w:type="dxa" w:w="1587"/>
          </w:tcPr>
          <w:p>
            <w:r/>
            <w:r>
              <w:rPr>
                <w:sz w:val="19"/>
              </w:rPr>
              <w:t>Quien cierra el sprint</w:t>
            </w:r>
          </w:p>
        </w:tc>
      </w:tr>
    </w:tbl>
    <w:p>
      <w:pPr>
        <w:spacing w:after="40"/>
      </w:pPr>
    </w:p>
    <w:p>
      <w:pPr>
        <w:pStyle w:val="Heading1"/>
      </w:pPr>
      <w:r>
        <w:t>3. Tipos de prueba</w:t>
      </w:r>
    </w:p>
    <w:p>
      <w:pPr>
        <w:pStyle w:val="Heading2"/>
      </w:pPr>
      <w:r>
        <w:t>3.1 Funcionales</w:t>
      </w:r>
    </w:p>
    <w:p>
      <w:pPr>
        <w:spacing w:after="120"/>
      </w:pPr>
      <w:r>
        <w:rPr>
          <w:b w:val="0"/>
          <w:i w:val="0"/>
          <w:sz w:val="22"/>
        </w:rPr>
        <w:t>Verifican el comportamiento descrito en los criterios de aceptación: el camino correcto, los caminos de error y las reglas que impiden un estado inválido. Cada caso declara el usuario con el que se ejecuta, porque en SIGMA el resultado depende del perfil: la misma pantalla no ofrece lo mismo a un técnico que a un planificador.</w:t>
      </w:r>
    </w:p>
    <w:p>
      <w:pPr>
        <w:pStyle w:val="Heading2"/>
      </w:pPr>
      <w:r>
        <w:t>3.2 De seguridad</w:t>
      </w:r>
    </w:p>
    <w:p>
      <w:pPr>
        <w:spacing w:after="120"/>
      </w:pPr>
      <w:r>
        <w:rPr>
          <w:b w:val="0"/>
          <w:i w:val="0"/>
          <w:sz w:val="22"/>
        </w:rPr>
        <w:t>No se prueban como una fase aparte al final, sino como casos dentro de cada historia, porque la seguridad de SIGMA es por dato y se decide en cada acción. Lo que se verifica: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402"/>
            <w:shd w:val="clear" w:color="auto" w:fill="E8E5F7"/>
          </w:tcPr>
          <w:p>
            <w:r/>
            <w:r>
              <w:rPr>
                <w:b/>
                <w:sz w:val="19"/>
              </w:rPr>
              <w:t>Qué se verifica</w:t>
            </w:r>
          </w:p>
        </w:tc>
        <w:tc>
          <w:tcPr>
            <w:tcW w:type="dxa" w:w="4252"/>
            <w:shd w:val="clear" w:color="auto" w:fill="E8E5F7"/>
          </w:tcPr>
          <w:p>
            <w:r/>
            <w:r>
              <w:rPr>
                <w:b/>
                <w:sz w:val="19"/>
              </w:rPr>
              <w:t>Cómo</w:t>
            </w:r>
          </w:p>
        </w:tc>
        <w:tc>
          <w:tcPr>
            <w:tcW w:type="dxa" w:w="1417"/>
            <w:shd w:val="clear" w:color="auto" w:fill="E8E5F7"/>
          </w:tcPr>
          <w:p>
            <w:r/>
            <w:r>
              <w:rPr>
                <w:b/>
                <w:sz w:val="19"/>
              </w:rPr>
              <w:t>Requisito</w:t>
            </w:r>
          </w:p>
        </w:tc>
      </w:tr>
      <w:tr>
        <w:tc>
          <w:tcPr>
            <w:tcW w:type="dxa" w:w="3402"/>
          </w:tcPr>
          <w:p>
            <w:r/>
            <w:r>
              <w:rPr>
                <w:sz w:val="19"/>
              </w:rPr>
              <w:t>Que el permiso se valide en el servidor y no solo escondiendo el control</w:t>
            </w:r>
          </w:p>
        </w:tc>
        <w:tc>
          <w:tcPr>
            <w:tcW w:type="dxa" w:w="4252"/>
          </w:tcPr>
          <w:p>
            <w:r/>
            <w:r>
              <w:rPr>
                <w:sz w:val="19"/>
              </w:rPr>
              <w:t>Se invoca la acción directamente por la API o por URL con un usuario sin el permiso; debe rechazarla</w:t>
            </w:r>
          </w:p>
        </w:tc>
        <w:tc>
          <w:tcPr>
            <w:tcW w:type="dxa" w:w="1417"/>
          </w:tcPr>
          <w:p>
            <w:r/>
            <w:r>
              <w:rPr>
                <w:sz w:val="19"/>
              </w:rPr>
              <w:t>RNF-05</w:t>
            </w:r>
          </w:p>
        </w:tc>
      </w:tr>
      <w:tr>
        <w:tc>
          <w:tcPr>
            <w:tcW w:type="dxa" w:w="3402"/>
          </w:tcPr>
          <w:p>
            <w:r/>
            <w:r>
              <w:rPr>
                <w:sz w:val="19"/>
              </w:rPr>
              <w:t>Que un cliente no vea datos de otro</w:t>
            </w:r>
          </w:p>
        </w:tc>
        <w:tc>
          <w:tcPr>
            <w:tcW w:type="dxa" w:w="4252"/>
          </w:tcPr>
          <w:p>
            <w:r/>
            <w:r>
              <w:rPr>
                <w:sz w:val="19"/>
              </w:rPr>
              <w:t>Se consulta un identificador de otro cliente con una sesión válida; no debe devolver nada</w:t>
            </w:r>
          </w:p>
        </w:tc>
        <w:tc>
          <w:tcPr>
            <w:tcW w:type="dxa" w:w="1417"/>
          </w:tcPr>
          <w:p>
            <w:r/>
            <w:r>
              <w:rPr>
                <w:sz w:val="19"/>
              </w:rPr>
              <w:t>RNF-06</w:t>
            </w:r>
          </w:p>
        </w:tc>
      </w:tr>
      <w:tr>
        <w:tc>
          <w:tcPr>
            <w:tcW w:type="dxa" w:w="3402"/>
          </w:tcPr>
          <w:p>
            <w:r/>
            <w:r>
              <w:rPr>
                <w:sz w:val="19"/>
              </w:rPr>
              <w:t>Que la contraseña no sea recuperable y cumpla la política</w:t>
            </w:r>
          </w:p>
        </w:tc>
        <w:tc>
          <w:tcPr>
            <w:tcW w:type="dxa" w:w="4252"/>
          </w:tcPr>
          <w:p>
            <w:r/>
            <w:r>
              <w:rPr>
                <w:sz w:val="19"/>
              </w:rPr>
              <w:t>Se verifica el hash con sal en la base y se intenta una contraseña que no cumple el mínimo o repite una anterior</w:t>
            </w:r>
          </w:p>
        </w:tc>
        <w:tc>
          <w:tcPr>
            <w:tcW w:type="dxa" w:w="1417"/>
          </w:tcPr>
          <w:p>
            <w:r/>
            <w:r>
              <w:rPr>
                <w:sz w:val="19"/>
              </w:rPr>
              <w:t>RNF-01 · RNF-03</w:t>
            </w:r>
          </w:p>
        </w:tc>
      </w:tr>
      <w:tr>
        <w:tc>
          <w:tcPr>
            <w:tcW w:type="dxa" w:w="3402"/>
          </w:tcPr>
          <w:p>
            <w:r/>
            <w:r>
              <w:rPr>
                <w:sz w:val="19"/>
              </w:rPr>
              <w:t>Que la cuenta se bloquee tras intentos fallidos consecutivos</w:t>
            </w:r>
          </w:p>
        </w:tc>
        <w:tc>
          <w:tcPr>
            <w:tcW w:type="dxa" w:w="4252"/>
          </w:tcPr>
          <w:p>
            <w:r/>
            <w:r>
              <w:rPr>
                <w:sz w:val="19"/>
              </w:rPr>
              <w:t>Se agota el número de intentos y se comprueba el bloqueo y su vigencia</w:t>
            </w:r>
          </w:p>
        </w:tc>
        <w:tc>
          <w:tcPr>
            <w:tcW w:type="dxa" w:w="1417"/>
          </w:tcPr>
          <w:p>
            <w:r/>
            <w:r>
              <w:rPr>
                <w:sz w:val="19"/>
              </w:rPr>
              <w:t>RNF-02</w:t>
            </w:r>
          </w:p>
        </w:tc>
      </w:tr>
      <w:tr>
        <w:tc>
          <w:tcPr>
            <w:tcW w:type="dxa" w:w="3402"/>
          </w:tcPr>
          <w:p>
            <w:r/>
            <w:r>
              <w:rPr>
                <w:sz w:val="19"/>
              </w:rPr>
              <w:t>Que la API exija token vigente antes de enrutar</w:t>
            </w:r>
          </w:p>
        </w:tc>
        <w:tc>
          <w:tcPr>
            <w:tcW w:type="dxa" w:w="4252"/>
          </w:tcPr>
          <w:p>
            <w:r/>
            <w:r>
              <w:rPr>
                <w:sz w:val="19"/>
              </w:rPr>
              <w:t>Se llama un endpoint sin token, con token vencido y con token de otro cliente</w:t>
            </w:r>
          </w:p>
        </w:tc>
        <w:tc>
          <w:tcPr>
            <w:tcW w:type="dxa" w:w="1417"/>
          </w:tcPr>
          <w:p>
            <w:r/>
            <w:r>
              <w:rPr>
                <w:sz w:val="19"/>
              </w:rPr>
              <w:t>RNF-04</w:t>
            </w:r>
          </w:p>
        </w:tc>
      </w:tr>
      <w:tr>
        <w:tc>
          <w:tcPr>
            <w:tcW w:type="dxa" w:w="3402"/>
          </w:tcPr>
          <w:p>
            <w:r/>
            <w:r>
              <w:rPr>
                <w:sz w:val="19"/>
              </w:rPr>
              <w:t>Que un cliente sin suscripción vigente no pueda operar</w:t>
            </w:r>
          </w:p>
        </w:tc>
        <w:tc>
          <w:tcPr>
            <w:tcW w:type="dxa" w:w="4252"/>
          </w:tcPr>
          <w:p>
            <w:r/>
            <w:r>
              <w:rPr>
                <w:sz w:val="19"/>
              </w:rPr>
              <w:t>Se vence la suscripción y se intenta una operación de negocio desde la web y desde la app</w:t>
            </w:r>
          </w:p>
        </w:tc>
        <w:tc>
          <w:tcPr>
            <w:tcW w:type="dxa" w:w="1417"/>
          </w:tcPr>
          <w:p>
            <w:r/>
            <w:r>
              <w:rPr>
                <w:sz w:val="19"/>
              </w:rPr>
              <w:t>RNF-07</w:t>
            </w:r>
          </w:p>
        </w:tc>
      </w:tr>
      <w:tr>
        <w:tc>
          <w:tcPr>
            <w:tcW w:type="dxa" w:w="3402"/>
          </w:tcPr>
          <w:p>
            <w:r/>
            <w:r>
              <w:rPr>
                <w:sz w:val="19"/>
              </w:rPr>
              <w:t>Que la sesión expire por inactividad</w:t>
            </w:r>
          </w:p>
        </w:tc>
        <w:tc>
          <w:tcPr>
            <w:tcW w:type="dxa" w:w="4252"/>
          </w:tcPr>
          <w:p>
            <w:r/>
            <w:r>
              <w:rPr>
                <w:sz w:val="19"/>
              </w:rPr>
              <w:t>Se deja la sesión inactiva más allá del plazo y se intenta continuar</w:t>
            </w:r>
          </w:p>
        </w:tc>
        <w:tc>
          <w:tcPr>
            <w:tcW w:type="dxa" w:w="1417"/>
          </w:tcPr>
          <w:p>
            <w:r/>
            <w:r>
              <w:rPr>
                <w:sz w:val="19"/>
              </w:rPr>
              <w:t>RNF-04</w:t>
            </w:r>
          </w:p>
        </w:tc>
      </w:tr>
      <w:tr>
        <w:tc>
          <w:tcPr>
            <w:tcW w:type="dxa" w:w="3402"/>
          </w:tcPr>
          <w:p>
            <w:r/>
            <w:r>
              <w:rPr>
                <w:sz w:val="19"/>
              </w:rPr>
              <w:t>Que el identificador en la URL no sea manipulable</w:t>
            </w:r>
          </w:p>
        </w:tc>
        <w:tc>
          <w:tcPr>
            <w:tcW w:type="dxa" w:w="4252"/>
          </w:tcPr>
          <w:p>
            <w:r/>
            <w:r>
              <w:rPr>
                <w:sz w:val="19"/>
              </w:rPr>
              <w:t>Se altera el identificador de la barra de direcciones y se comprueba que no entrega otro registro</w:t>
            </w:r>
          </w:p>
        </w:tc>
        <w:tc>
          <w:tcPr>
            <w:tcW w:type="dxa" w:w="1417"/>
          </w:tcPr>
          <w:p>
            <w:r/>
            <w:r>
              <w:rPr>
                <w:sz w:val="19"/>
              </w:rPr>
              <w:t>RNF-10</w:t>
            </w:r>
          </w:p>
        </w:tc>
      </w:tr>
    </w:tbl>
    <w:p>
      <w:pPr>
        <w:spacing w:after="40"/>
      </w:pPr>
    </w:p>
    <w:p>
      <w:pPr>
        <w:pStyle w:val="Heading2"/>
      </w:pPr>
      <w:r>
        <w:t>3.3 De rendimiento</w:t>
      </w:r>
    </w:p>
    <w:p>
      <w:pPr>
        <w:spacing w:after="120"/>
      </w:pPr>
      <w:r>
        <w:rPr>
          <w:b w:val="0"/>
          <w:i w:val="0"/>
          <w:sz w:val="22"/>
        </w:rPr>
        <w:t>Se miden cuatro cosas, cada una contra el requisito no funcional que la define. No se busca un número de usuarios concurrentes —SIGMA es una intranet de planta, no un sitio masivo—, sino que el sistema no se degrade al crecer el volumen de datos ni al abrirse una pantalla con muchos registros.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E8E5F7"/>
          </w:tcPr>
          <w:p>
            <w:r/>
            <w:r>
              <w:rPr>
                <w:b/>
                <w:sz w:val="19"/>
              </w:rPr>
              <w:t>Qué se mide</w:t>
            </w:r>
          </w:p>
        </w:tc>
        <w:tc>
          <w:tcPr>
            <w:tcW w:type="dxa" w:w="4819"/>
            <w:shd w:val="clear" w:color="auto" w:fill="E8E5F7"/>
          </w:tcPr>
          <w:p>
            <w:r/>
            <w:r>
              <w:rPr>
                <w:b/>
                <w:sz w:val="19"/>
              </w:rPr>
              <w:t>Cómo se mide</w:t>
            </w:r>
          </w:p>
        </w:tc>
        <w:tc>
          <w:tcPr>
            <w:tcW w:type="dxa" w:w="1417"/>
            <w:shd w:val="clear" w:color="auto" w:fill="E8E5F7"/>
          </w:tcPr>
          <w:p>
            <w:r/>
            <w:r>
              <w:rPr>
                <w:b/>
                <w:sz w:val="19"/>
              </w:rPr>
              <w:t>Requisito</w:t>
            </w:r>
          </w:p>
        </w:tc>
      </w:tr>
      <w:tr>
        <w:tc>
          <w:tcPr>
            <w:tcW w:type="dxa" w:w="3118"/>
          </w:tcPr>
          <w:p>
            <w:r/>
            <w:r>
              <w:rPr>
                <w:sz w:val="19"/>
              </w:rPr>
              <w:t>Tiempo de respuesta de los endpoints de lectura de la API</w:t>
            </w:r>
          </w:p>
        </w:tc>
        <w:tc>
          <w:tcPr>
            <w:tcW w:type="dxa" w:w="4819"/>
          </w:tcPr>
          <w:p>
            <w:r/>
            <w:r>
              <w:rPr>
                <w:sz w:val="19"/>
              </w:rPr>
              <w:t>Se cronometra la llamada sobre un conjunto de datos de tamaño de producción y se compara con el umbral declarado</w:t>
            </w:r>
          </w:p>
        </w:tc>
        <w:tc>
          <w:tcPr>
            <w:tcW w:type="dxa" w:w="1417"/>
          </w:tcPr>
          <w:p>
            <w:r/>
            <w:r>
              <w:rPr>
                <w:sz w:val="19"/>
              </w:rPr>
              <w:t>RNF-15</w:t>
            </w:r>
          </w:p>
        </w:tc>
      </w:tr>
      <w:tr>
        <w:tc>
          <w:tcPr>
            <w:tcW w:type="dxa" w:w="3118"/>
          </w:tcPr>
          <w:p>
            <w:r/>
            <w:r>
              <w:rPr>
                <w:sz w:val="19"/>
              </w:rPr>
              <w:t>Que las consultas usen índice y no barran la tabla</w:t>
            </w:r>
          </w:p>
        </w:tc>
        <w:tc>
          <w:tcPr>
            <w:tcW w:type="dxa" w:w="4819"/>
          </w:tcPr>
          <w:p>
            <w:r/>
            <w:r>
              <w:rPr>
                <w:sz w:val="19"/>
              </w:rPr>
              <w:t>Se revisa el plan de ejecución de las consultas de listado y búsqueda sobre la base con volumen</w:t>
            </w:r>
          </w:p>
        </w:tc>
        <w:tc>
          <w:tcPr>
            <w:tcW w:type="dxa" w:w="1417"/>
          </w:tcPr>
          <w:p>
            <w:r/>
            <w:r>
              <w:rPr>
                <w:sz w:val="19"/>
              </w:rPr>
              <w:t>RNF-11</w:t>
            </w:r>
          </w:p>
        </w:tc>
      </w:tr>
      <w:tr>
        <w:tc>
          <w:tcPr>
            <w:tcW w:type="dxa" w:w="3118"/>
          </w:tcPr>
          <w:p>
            <w:r/>
            <w:r>
              <w:rPr>
                <w:sz w:val="19"/>
              </w:rPr>
              <w:t>Peso de página: ViewState y nodos del DOM</w:t>
            </w:r>
          </w:p>
        </w:tc>
        <w:tc>
          <w:tcPr>
            <w:tcW w:type="dxa" w:w="4819"/>
          </w:tcPr>
          <w:p>
            <w:r/>
            <w:r>
              <w:rPr>
                <w:sz w:val="19"/>
              </w:rPr>
              <w:t>Se mide el tamaño del ViewState y la cantidad de nodos de cada pantalla y se contrasta con su presupuesto declarado</w:t>
            </w:r>
          </w:p>
        </w:tc>
        <w:tc>
          <w:tcPr>
            <w:tcW w:type="dxa" w:w="1417"/>
          </w:tcPr>
          <w:p>
            <w:r/>
            <w:r>
              <w:rPr>
                <w:sz w:val="19"/>
              </w:rPr>
              <w:t>RNF-14</w:t>
            </w:r>
          </w:p>
        </w:tc>
      </w:tr>
      <w:tr>
        <w:tc>
          <w:tcPr>
            <w:tcW w:type="dxa" w:w="3118"/>
          </w:tcPr>
          <w:p>
            <w:r/>
            <w:r>
              <w:rPr>
                <w:sz w:val="19"/>
              </w:rPr>
              <w:t>Comportamiento al crecer el volumen</w:t>
            </w:r>
          </w:p>
        </w:tc>
        <w:tc>
          <w:tcPr>
            <w:tcW w:type="dxa" w:w="4819"/>
          </w:tcPr>
          <w:p>
            <w:r/>
            <w:r>
              <w:rPr>
                <w:sz w:val="19"/>
              </w:rPr>
              <w:t>Se carga la base con el volumen esperado de un cliente en operación y se repiten las mediciones anteriores</w:t>
            </w:r>
          </w:p>
        </w:tc>
        <w:tc>
          <w:tcPr>
            <w:tcW w:type="dxa" w:w="1417"/>
          </w:tcPr>
          <w:p>
            <w:r/>
            <w:r>
              <w:rPr>
                <w:sz w:val="19"/>
              </w:rPr>
              <w:t>RNF-19</w:t>
            </w:r>
          </w:p>
        </w:tc>
      </w:tr>
    </w:tbl>
    <w:p>
      <w:pPr>
        <w:spacing w:after="40"/>
      </w:pPr>
    </w:p>
    <w:p>
      <w:pPr>
        <w:spacing w:after="120"/>
      </w:pPr>
      <w:r>
        <w:rPr>
          <w:b w:val="0"/>
          <w:i w:val="0"/>
          <w:sz w:val="22"/>
        </w:rPr>
        <w:t>Las mediciones de rendimiento son de solo lectura: no escriben en la base. La carga de volumen que exige RNF-19 es harina de otro costal — esa sí necesita una base aparte, porque implica insertar decenas de miles de filas, y no se hace sobre la base que tiene los datos del piloto.</w:t>
      </w:r>
    </w:p>
    <w:p>
      <w:pPr>
        <w:pStyle w:val="Heading2"/>
      </w:pPr>
      <w:r>
        <w:t>3.4 De usabilidad y accesibilidad</w:t>
      </w:r>
    </w:p>
    <w:p>
      <w:pPr>
        <w:spacing w:after="120"/>
      </w:pPr>
      <w:r>
        <w:rPr>
          <w:b w:val="0"/>
          <w:i w:val="0"/>
          <w:sz w:val="22"/>
        </w:rPr>
        <w:t>La app móvil se verifica con el tamaño de letra del sistema aumentado y con el modo silencio activo, porque el técnico la usa en planta, con guantes y ruido. En la web se verifica que cada pantalla nueva respete el estándar de interfaz del proyecto: la paleta, el significado de cada color de botón y el anillo de foco.</w:t>
      </w:r>
    </w:p>
    <w:p>
      <w:pPr>
        <w:pStyle w:val="Heading1"/>
      </w:pPr>
      <w:r>
        <w:t>4. Entorno de pruebas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984"/>
            <w:shd w:val="clear" w:color="auto" w:fill="E8E5F7"/>
          </w:tcPr>
          <w:p>
            <w:r/>
            <w:r>
              <w:rPr>
                <w:b/>
                <w:sz w:val="19"/>
              </w:rPr>
              <w:t>Elemento</w:t>
            </w:r>
          </w:p>
        </w:tc>
        <w:tc>
          <w:tcPr>
            <w:tcW w:type="dxa" w:w="7654"/>
            <w:shd w:val="clear" w:color="auto" w:fill="E8E5F7"/>
          </w:tcPr>
          <w:p>
            <w:r/>
            <w:r>
              <w:rPr>
                <w:b/>
                <w:sz w:val="19"/>
              </w:rPr>
              <w:t>Cómo está dispuesto</w:t>
            </w:r>
          </w:p>
        </w:tc>
      </w:tr>
      <w:tr>
        <w:tc>
          <w:tcPr>
            <w:tcW w:type="dxa" w:w="1984"/>
          </w:tcPr>
          <w:p>
            <w:r/>
            <w:r>
              <w:rPr>
                <w:sz w:val="19"/>
              </w:rPr>
              <w:t>Intranet</w:t>
            </w:r>
          </w:p>
        </w:tc>
        <w:tc>
          <w:tcPr>
            <w:tcW w:type="dxa" w:w="7654"/>
          </w:tcPr>
          <w:p>
            <w:r/>
            <w:r>
              <w:rPr>
                <w:sz w:val="19"/>
              </w:rPr>
              <w:t>Instancia local sobre IIS, servida desde el mismo código que se despliega</w:t>
            </w:r>
          </w:p>
        </w:tc>
      </w:tr>
      <w:tr>
        <w:tc>
          <w:tcPr>
            <w:tcW w:type="dxa" w:w="1984"/>
          </w:tcPr>
          <w:p>
            <w:r/>
            <w:r>
              <w:rPr>
                <w:sz w:val="19"/>
              </w:rPr>
              <w:t>API</w:t>
            </w:r>
          </w:p>
        </w:tc>
        <w:tc>
          <w:tcPr>
            <w:tcW w:type="dxa" w:w="7654"/>
          </w:tcPr>
          <w:p>
            <w:r/>
            <w:r>
              <w:rPr>
                <w:sz w:val="19"/>
              </w:rPr>
              <w:t>Instancia propia, con su app pool separado, igual que en producción</w:t>
            </w:r>
          </w:p>
        </w:tc>
      </w:tr>
      <w:tr>
        <w:tc>
          <w:tcPr>
            <w:tcW w:type="dxa" w:w="1984"/>
          </w:tcPr>
          <w:p>
            <w:r/>
            <w:r>
              <w:rPr>
                <w:sz w:val="19"/>
              </w:rPr>
              <w:t>Base de datos</w:t>
            </w:r>
          </w:p>
        </w:tc>
        <w:tc>
          <w:tcPr>
            <w:tcW w:type="dxa" w:w="7654"/>
          </w:tcPr>
          <w:p>
            <w:r/>
            <w:r>
              <w:rPr>
                <w:sz w:val="19"/>
              </w:rPr>
              <w:t>Hoy existe una sola base, la del hosting, y es la que usan tanto el desarrollo como las pruebas. Las pruebas de aceptación crean sus propios datos y las de rendimiento son de solo lectura, pero separar una base de pruebas sigue siendo lo correcto y el plan contratado lo permite</w:t>
            </w:r>
          </w:p>
        </w:tc>
      </w:tr>
      <w:tr>
        <w:tc>
          <w:tcPr>
            <w:tcW w:type="dxa" w:w="1984"/>
          </w:tcPr>
          <w:p>
            <w:r/>
            <w:r>
              <w:rPr>
                <w:sz w:val="19"/>
              </w:rPr>
              <w:t>Cliente de prueba</w:t>
            </w:r>
          </w:p>
        </w:tc>
        <w:tc>
          <w:tcPr>
            <w:tcW w:type="dxa" w:w="7654"/>
          </w:tcPr>
          <w:p>
            <w:r/>
            <w:r>
              <w:rPr>
                <w:sz w:val="19"/>
              </w:rPr>
              <w:t>Hamburgo S.A., el cliente piloto, con su estructura real de plantas, áreas y activos</w:t>
            </w:r>
          </w:p>
        </w:tc>
      </w:tr>
      <w:tr>
        <w:tc>
          <w:tcPr>
            <w:tcW w:type="dxa" w:w="1984"/>
          </w:tcPr>
          <w:p>
            <w:r/>
            <w:r>
              <w:rPr>
                <w:sz w:val="19"/>
              </w:rPr>
              <w:t>Navegador</w:t>
            </w:r>
          </w:p>
        </w:tc>
        <w:tc>
          <w:tcPr>
            <w:tcW w:type="dxa" w:w="7654"/>
          </w:tcPr>
          <w:p>
            <w:r/>
            <w:r>
              <w:rPr>
                <w:sz w:val="19"/>
              </w:rPr>
              <w:t>Chrome en modo headless, ventana de 1400 × 900, idioma es-CL y escala de dispositivo fija, para que una captura sea comparable con la siguiente</w:t>
            </w:r>
          </w:p>
        </w:tc>
      </w:tr>
      <w:tr>
        <w:tc>
          <w:tcPr>
            <w:tcW w:type="dxa" w:w="1984"/>
          </w:tcPr>
          <w:p>
            <w:r/>
            <w:r>
              <w:rPr>
                <w:sz w:val="19"/>
              </w:rPr>
              <w:t>App móvil</w:t>
            </w:r>
          </w:p>
        </w:tc>
        <w:tc>
          <w:tcPr>
            <w:tcW w:type="dxa" w:w="7654"/>
          </w:tcPr>
          <w:p>
            <w:r/>
            <w:r>
              <w:rPr>
                <w:sz w:val="19"/>
              </w:rPr>
              <w:t>Pruebas unitarias con el entorno de pruebas de Flutter; recorridos de terreno sobre dispositivo</w:t>
            </w:r>
          </w:p>
        </w:tc>
      </w:tr>
    </w:tbl>
    <w:p>
      <w:pPr>
        <w:spacing w:after="40"/>
      </w:pPr>
    </w:p>
    <w:p>
      <w:pPr>
        <w:pStyle w:val="Heading2"/>
      </w:pPr>
      <w:r>
        <w:t>4.1 Usuarios y datos de prueba</w:t>
      </w:r>
    </w:p>
    <w:p>
      <w:pPr>
        <w:spacing w:after="120"/>
      </w:pPr>
      <w:r>
        <w:rPr>
          <w:b w:val="0"/>
          <w:i w:val="0"/>
          <w:sz w:val="22"/>
        </w:rPr>
        <w:t>Cada caso se ejecuta con el usuario del perfil que corresponde, no con un administrador que lo puede todo. Un caso ejecutado siempre como administrador no prueba los permisos: los esquiva.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E8E5F7"/>
          </w:tcPr>
          <w:p>
            <w:r/>
            <w:r>
              <w:rPr>
                <w:b/>
                <w:sz w:val="19"/>
              </w:rPr>
              <w:t>Perfil</w:t>
            </w:r>
          </w:p>
        </w:tc>
        <w:tc>
          <w:tcPr>
            <w:tcW w:type="dxa" w:w="7087"/>
            <w:shd w:val="clear" w:color="auto" w:fill="E8E5F7"/>
          </w:tcPr>
          <w:p>
            <w:r/>
            <w:r>
              <w:rPr>
                <w:b/>
                <w:sz w:val="19"/>
              </w:rPr>
              <w:t>Para qué se usa</w:t>
            </w:r>
          </w:p>
        </w:tc>
      </w:tr>
      <w:tr>
        <w:tc>
          <w:tcPr>
            <w:tcW w:type="dxa" w:w="2551"/>
          </w:tcPr>
          <w:p>
            <w:r/>
            <w:r>
              <w:rPr>
                <w:sz w:val="19"/>
              </w:rPr>
              <w:t>Jefe de mantenimiento</w:t>
            </w:r>
          </w:p>
        </w:tc>
        <w:tc>
          <w:tcPr>
            <w:tcW w:type="dxa" w:w="7087"/>
          </w:tcPr>
          <w:p>
            <w:r/>
            <w:r>
              <w:rPr>
                <w:sz w:val="19"/>
              </w:rPr>
              <w:t>Planificación, aprobación, cierre de órdenes e indicadores</w:t>
            </w:r>
          </w:p>
        </w:tc>
      </w:tr>
      <w:tr>
        <w:tc>
          <w:tcPr>
            <w:tcW w:type="dxa" w:w="2551"/>
          </w:tcPr>
          <w:p>
            <w:r/>
            <w:r>
              <w:rPr>
                <w:sz w:val="19"/>
              </w:rPr>
              <w:t>Planificador</w:t>
            </w:r>
          </w:p>
        </w:tc>
        <w:tc>
          <w:tcPr>
            <w:tcW w:type="dxa" w:w="7087"/>
          </w:tcPr>
          <w:p>
            <w:r/>
            <w:r>
              <w:rPr>
                <w:sz w:val="19"/>
              </w:rPr>
              <w:t>Planes, programaciones, generación y asignación de trabajo</w:t>
            </w:r>
          </w:p>
        </w:tc>
      </w:tr>
      <w:tr>
        <w:tc>
          <w:tcPr>
            <w:tcW w:type="dxa" w:w="2551"/>
          </w:tcPr>
          <w:p>
            <w:r/>
            <w:r>
              <w:rPr>
                <w:sz w:val="19"/>
              </w:rPr>
              <w:t>Técnico de terreno</w:t>
            </w:r>
          </w:p>
        </w:tc>
        <w:tc>
          <w:tcPr>
            <w:tcW w:type="dxa" w:w="7087"/>
          </w:tcPr>
          <w:p>
            <w:r/>
            <w:r>
              <w:rPr>
                <w:sz w:val="19"/>
              </w:rPr>
              <w:t>Ejecución: tomar la orden, completar pasos, registrar mediciones y bitácora. Es el perfil con el que se comprueba lo que NO debe poder hacer</w:t>
            </w:r>
          </w:p>
        </w:tc>
      </w:tr>
      <w:tr>
        <w:tc>
          <w:tcPr>
            <w:tcW w:type="dxa" w:w="2551"/>
          </w:tcPr>
          <w:p>
            <w:r/>
            <w:r>
              <w:rPr>
                <w:sz w:val="19"/>
              </w:rPr>
              <w:t>Administrador del cliente</w:t>
            </w:r>
          </w:p>
        </w:tc>
        <w:tc>
          <w:tcPr>
            <w:tcW w:type="dxa" w:w="7087"/>
          </w:tcPr>
          <w:p>
            <w:r/>
            <w:r>
              <w:rPr>
                <w:sz w:val="19"/>
              </w:rPr>
              <w:t>Usuarios, perfiles, plantas, catálogos y suscripción</w:t>
            </w:r>
          </w:p>
        </w:tc>
      </w:tr>
      <w:tr>
        <w:tc>
          <w:tcPr>
            <w:tcW w:type="dxa" w:w="2551"/>
          </w:tcPr>
          <w:p>
            <w:r/>
            <w:r>
              <w:rPr>
                <w:sz w:val="19"/>
              </w:rPr>
              <w:t>Bodeguero</w:t>
            </w:r>
          </w:p>
        </w:tc>
        <w:tc>
          <w:tcPr>
            <w:tcW w:type="dxa" w:w="7087"/>
          </w:tcPr>
          <w:p>
            <w:r/>
            <w:r>
              <w:rPr>
                <w:sz w:val="19"/>
              </w:rPr>
              <w:t>Movimientos de inventario y existencias</w:t>
            </w:r>
          </w:p>
        </w:tc>
      </w:tr>
      <w:tr>
        <w:tc>
          <w:tcPr>
            <w:tcW w:type="dxa" w:w="2551"/>
          </w:tcPr>
          <w:p>
            <w:r/>
            <w:r>
              <w:rPr>
                <w:sz w:val="19"/>
              </w:rPr>
              <w:t>Cuenta de plataforma</w:t>
            </w:r>
          </w:p>
        </w:tc>
        <w:tc>
          <w:tcPr>
            <w:tcW w:type="dxa" w:w="7087"/>
          </w:tcPr>
          <w:p>
            <w:r/>
            <w:r>
              <w:rPr>
                <w:sz w:val="19"/>
              </w:rPr>
              <w:t>Administración multicliente; se usa para verificar el aislamiento entre clientes</w:t>
            </w:r>
          </w:p>
        </w:tc>
      </w:tr>
    </w:tbl>
    <w:p>
      <w:pPr>
        <w:spacing w:after="40"/>
      </w:pPr>
    </w:p>
    <w:p>
      <w:pPr>
        <w:spacing w:after="120"/>
      </w:pPr>
      <w:r>
        <w:rPr>
          <w:b w:val="0"/>
          <w:i w:val="0"/>
          <w:sz w:val="22"/>
        </w:rPr>
        <w:t>Los datos de prueba se crean dentro del propio caso cuando el caso los necesita, de modo que una corrida no dependa de que otra la haya precedido. Los identificadores generados quedan anotados en la evidencia para poder reconstruir qué se probó.</w:t>
      </w:r>
    </w:p>
    <w:p>
      <w:pPr>
        <w:pStyle w:val="Heading1"/>
      </w:pPr>
      <w:r>
        <w:t>5. Herramientas y automatización</w:t>
      </w:r>
    </w:p>
    <w:p>
      <w:pPr>
        <w:spacing w:after="120"/>
      </w:pPr>
      <w:r>
        <w:rPr>
          <w:b w:val="0"/>
          <w:i w:val="0"/>
          <w:sz w:val="22"/>
        </w:rPr>
        <w:t>Las pruebas de aceptación de SIGMA están automatizadas con un arnés propio construido sobre Selenium, que conduce el navegador, maneja la sesión, abre las fichas modales, espera a que terminen las llamadas asíncronas y captura la pantalla en cada paso relevante.</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3402"/>
            <w:shd w:val="clear" w:color="auto" w:fill="E8E5F7"/>
          </w:tcPr>
          <w:p>
            <w:r/>
            <w:r>
              <w:rPr>
                <w:b/>
                <w:sz w:val="19"/>
              </w:rPr>
              <w:t>Herramienta</w:t>
            </w:r>
          </w:p>
        </w:tc>
        <w:tc>
          <w:tcPr>
            <w:tcW w:type="dxa" w:w="6236"/>
            <w:shd w:val="clear" w:color="auto" w:fill="E8E5F7"/>
          </w:tcPr>
          <w:p>
            <w:r/>
            <w:r>
              <w:rPr>
                <w:b/>
                <w:sz w:val="19"/>
              </w:rPr>
              <w:t>Para qué</w:t>
            </w:r>
          </w:p>
        </w:tc>
      </w:tr>
      <w:tr>
        <w:tc>
          <w:tcPr>
            <w:tcW w:type="dxa" w:w="3402"/>
          </w:tcPr>
          <w:p>
            <w:r/>
            <w:r>
              <w:rPr>
                <w:sz w:val="19"/>
              </w:rPr>
              <w:t>Arnés de evidencia sobre Selenium + Chrome headless</w:t>
            </w:r>
          </w:p>
        </w:tc>
        <w:tc>
          <w:tcPr>
            <w:tcW w:type="dxa" w:w="6236"/>
          </w:tcPr>
          <w:p>
            <w:r/>
            <w:r>
              <w:rPr>
                <w:sz w:val="19"/>
              </w:rPr>
              <w:t>Recorridos completos por la Intranet: iniciar sesión con un usuario, navegar, completar formularios, abrir fichas modales, confirmar y capturar</w:t>
            </w:r>
          </w:p>
        </w:tc>
      </w:tr>
      <w:tr>
        <w:tc>
          <w:tcPr>
            <w:tcW w:type="dxa" w:w="3402"/>
          </w:tcPr>
          <w:p>
            <w:r/>
            <w:r>
              <w:rPr>
                <w:sz w:val="19"/>
              </w:rPr>
              <w:t>Cliente de la API vía Swagger y llamadas directas</w:t>
            </w:r>
          </w:p>
        </w:tc>
        <w:tc>
          <w:tcPr>
            <w:tcW w:type="dxa" w:w="6236"/>
          </w:tcPr>
          <w:p>
            <w:r/>
            <w:r>
              <w:rPr>
                <w:sz w:val="19"/>
              </w:rPr>
              <w:t>Probar los endpoints con el token de cada perfil, incluidas las respuestas de rechazo (sin permiso, sin token, suscripción vencida)</w:t>
            </w:r>
          </w:p>
        </w:tc>
      </w:tr>
      <w:tr>
        <w:tc>
          <w:tcPr>
            <w:tcW w:type="dxa" w:w="3402"/>
          </w:tcPr>
          <w:p>
            <w:r/>
            <w:r>
              <w:rPr>
                <w:sz w:val="19"/>
              </w:rPr>
              <w:t>sqlcmd</w:t>
            </w:r>
          </w:p>
        </w:tc>
        <w:tc>
          <w:tcPr>
            <w:tcW w:type="dxa" w:w="6236"/>
          </w:tcPr>
          <w:p>
            <w:r/>
            <w:r>
              <w:rPr>
                <w:sz w:val="19"/>
              </w:rPr>
              <w:t>Verificar en la base lo que la pantalla dice que pasó, y ejercitar los procedimientos almacenados directamente</w:t>
            </w:r>
          </w:p>
        </w:tc>
      </w:tr>
      <w:tr>
        <w:tc>
          <w:tcPr>
            <w:tcW w:type="dxa" w:w="3402"/>
          </w:tcPr>
          <w:p>
            <w:r/>
            <w:r>
              <w:rPr>
                <w:sz w:val="19"/>
              </w:rPr>
              <w:t>Entorno de pruebas de Flutter</w:t>
            </w:r>
          </w:p>
        </w:tc>
        <w:tc>
          <w:tcPr>
            <w:tcW w:type="dxa" w:w="6236"/>
          </w:tcPr>
          <w:p>
            <w:r/>
            <w:r>
              <w:rPr>
                <w:sz w:val="19"/>
              </w:rPr>
              <w:t>Pruebas unitarias de la app móvil</w:t>
            </w:r>
          </w:p>
        </w:tc>
      </w:tr>
      <w:tr>
        <w:tc>
          <w:tcPr>
            <w:tcW w:type="dxa" w:w="3402"/>
          </w:tcPr>
          <w:p>
            <w:r/>
            <w:r>
              <w:rPr>
                <w:sz w:val="19"/>
              </w:rPr>
              <w:t>Impresión a PDF del navegador</w:t>
            </w:r>
          </w:p>
        </w:tc>
        <w:tc>
          <w:tcPr>
            <w:tcW w:type="dxa" w:w="6236"/>
          </w:tcPr>
          <w:p>
            <w:r/>
            <w:r>
              <w:rPr>
                <w:sz w:val="19"/>
              </w:rPr>
              <w:t>Verificar lo que se imprime midiendo el PDF resultante, no mirando la pantalla</w:t>
            </w:r>
          </w:p>
        </w:tc>
      </w:tr>
      <w:tr>
        <w:tc>
          <w:tcPr>
            <w:tcW w:type="dxa" w:w="3402"/>
          </w:tcPr>
          <w:p>
            <w:r/>
            <w:r>
              <w:rPr>
                <w:sz w:val="19"/>
              </w:rPr>
              <w:t>Manifiesto JSON por sprint</w:t>
            </w:r>
          </w:p>
        </w:tc>
        <w:tc>
          <w:tcPr>
            <w:tcW w:type="dxa" w:w="6236"/>
          </w:tcPr>
          <w:p>
            <w:r/>
            <w:r>
              <w:rPr>
                <w:sz w:val="19"/>
              </w:rPr>
              <w:t>Cada caso queda anotado con su historia, su criterio, el usuario, los pasos, lo esperado, lo obtenido y sus capturas. De ahí se arma el informe de pruebas del sprint, sin transcribir nada a mano</w:t>
            </w:r>
          </w:p>
        </w:tc>
      </w:tr>
    </w:tbl>
    <w:p>
      <w:pPr>
        <w:spacing w:after="40"/>
      </w:pPr>
    </w:p>
    <w:p>
      <w:pPr>
        <w:spacing w:after="120"/>
      </w:pPr>
      <w:r>
        <w:rPr>
          <w:b w:val="0"/>
          <w:i w:val="0"/>
          <w:sz w:val="22"/>
        </w:rPr>
        <w:t>Que el informe se genere desde el manifiesto es deliberado: impide que el documento diga algo distinto de lo que la corrida arrojó.</w:t>
      </w:r>
    </w:p>
    <w:p>
      <w:pPr>
        <w:pStyle w:val="Heading1"/>
      </w:pPr>
      <w:r>
        <w:t>6. Criterios de entrada y de salida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3118"/>
            <w:shd w:val="clear" w:color="auto" w:fill="E8E5F7"/>
          </w:tcPr>
          <w:p>
            <w:r/>
            <w:r>
              <w:rPr>
                <w:b/>
                <w:sz w:val="19"/>
              </w:rPr>
              <w:t>Momento</w:t>
            </w:r>
          </w:p>
        </w:tc>
        <w:tc>
          <w:tcPr>
            <w:tcW w:type="dxa" w:w="6520"/>
            <w:shd w:val="clear" w:color="auto" w:fill="E8E5F7"/>
          </w:tcPr>
          <w:p>
            <w:r/>
            <w:r>
              <w:rPr>
                <w:b/>
                <w:sz w:val="19"/>
              </w:rPr>
              <w:t>Condición</w:t>
            </w:r>
          </w:p>
        </w:tc>
      </w:tr>
      <w:tr>
        <w:tc>
          <w:tcPr>
            <w:tcW w:type="dxa" w:w="3118"/>
          </w:tcPr>
          <w:p>
            <w:r/>
            <w:r>
              <w:rPr>
                <w:sz w:val="19"/>
              </w:rPr>
              <w:t>Para empezar a probar una historia</w:t>
            </w:r>
          </w:p>
        </w:tc>
        <w:tc>
          <w:tcPr>
            <w:tcW w:type="dxa" w:w="6520"/>
          </w:tcPr>
          <w:p>
            <w:r/>
            <w:r>
              <w:rPr>
                <w:sz w:val="19"/>
              </w:rPr>
              <w:t>La historia está construida de punta a punta, compila, y sus criterios de aceptación están escritos en el Sprint Backlog</w:t>
            </w:r>
          </w:p>
        </w:tc>
      </w:tr>
      <w:tr>
        <w:tc>
          <w:tcPr>
            <w:tcW w:type="dxa" w:w="3118"/>
          </w:tcPr>
          <w:p>
            <w:r/>
            <w:r>
              <w:rPr>
                <w:sz w:val="19"/>
              </w:rPr>
              <w:t>Para dar una historia por terminada</w:t>
            </w:r>
          </w:p>
        </w:tc>
        <w:tc>
          <w:tcPr>
            <w:tcW w:type="dxa" w:w="6520"/>
          </w:tcPr>
          <w:p>
            <w:r/>
            <w:r>
              <w:rPr>
                <w:sz w:val="19"/>
              </w:rPr>
              <w:t>Todos sus criterios de aceptación tienen un caso ejecutado con resultado conforme y su evidencia asociada</w:t>
            </w:r>
          </w:p>
        </w:tc>
      </w:tr>
      <w:tr>
        <w:tc>
          <w:tcPr>
            <w:tcW w:type="dxa" w:w="3118"/>
          </w:tcPr>
          <w:p>
            <w:r/>
            <w:r>
              <w:rPr>
                <w:sz w:val="19"/>
              </w:rPr>
              <w:t>Para cerrar un sprint</w:t>
            </w:r>
          </w:p>
        </w:tc>
        <w:tc>
          <w:tcPr>
            <w:tcW w:type="dxa" w:w="6520"/>
          </w:tcPr>
          <w:p>
            <w:r/>
            <w:r>
              <w:rPr>
                <w:sz w:val="19"/>
              </w:rPr>
              <w:t>Ninguna historia comprometida queda con un criterio sin caso; los defectos encontrados están corregidos y con su caso de regresión; la Product Owner validó funcionalmente las historias</w:t>
            </w:r>
          </w:p>
        </w:tc>
      </w:tr>
      <w:tr>
        <w:tc>
          <w:tcPr>
            <w:tcW w:type="dxa" w:w="3118"/>
          </w:tcPr>
          <w:p>
            <w:r/>
            <w:r>
              <w:rPr>
                <w:sz w:val="19"/>
              </w:rPr>
              <w:t>Para considerar un defecto resuelto</w:t>
            </w:r>
          </w:p>
        </w:tc>
        <w:tc>
          <w:tcPr>
            <w:tcW w:type="dxa" w:w="6520"/>
          </w:tcPr>
          <w:p>
            <w:r/>
            <w:r>
              <w:rPr>
                <w:sz w:val="19"/>
              </w:rPr>
              <w:t>Está corregido, existe el caso que lo habría detectado, y ese caso corre conforme</w:t>
            </w:r>
          </w:p>
        </w:tc>
      </w:tr>
    </w:tbl>
    <w:p>
      <w:pPr>
        <w:spacing w:after="40"/>
      </w:pPr>
    </w:p>
    <w:p>
      <w:pPr>
        <w:spacing w:after="120"/>
      </w:pPr>
      <w:r>
        <w:rPr>
          <w:b w:val="0"/>
          <w:i w:val="0"/>
          <w:sz w:val="22"/>
        </w:rPr>
        <w:t>La Definition of Done del proyecto incorpora estas condiciones: una historia sin su evidencia de pruebas no está terminada, aunque funcione.</w:t>
      </w:r>
    </w:p>
    <w:p>
      <w:pPr>
        <w:pStyle w:val="Heading1"/>
      </w:pPr>
      <w:r>
        <w:t>7. Gestión de defectos</w:t>
      </w:r>
    </w:p>
    <w:p>
      <w:pPr>
        <w:spacing w:after="120"/>
      </w:pPr>
      <w:r>
        <w:rPr>
          <w:b w:val="0"/>
          <w:i w:val="0"/>
          <w:sz w:val="22"/>
        </w:rPr>
        <w:t>Un defecto encontrado durante las pruebas se corrige dentro del mismo sprint y queda registrado en el informe de pruebas con tres cosas: qué se esperaba, qué ocurrió y qué lo causaba. No se registra solo el síntoma, porque el síntoma no sirve para evitar que vuelva.</w:t>
      </w:r>
    </w:p>
    <w:p>
      <w:pPr>
        <w:spacing w:after="120"/>
      </w:pPr>
      <w:r>
        <w:rPr>
          <w:b w:val="0"/>
          <w:i w:val="0"/>
          <w:sz w:val="22"/>
        </w:rPr>
        <w:t>Después de corregirlo se agrega el caso que lo habría detectado. Por eso en los informes aparecen casos titulados «Defecto corregido»: son los que nacieron de un fallo real y quedan incorporados a la regresión.</w:t>
      </w:r>
    </w:p>
    <w:p>
      <w:pPr>
        <w:pStyle w:val="Heading1"/>
      </w:pPr>
      <w:r>
        <w:t>8. Estado de ejecución al 01-10-2026</w:t>
      </w:r>
    </w:p>
    <w:p>
      <w:pPr>
        <w:spacing w:after="120"/>
      </w:pPr>
      <w:r>
        <w:rPr>
          <w:b w:val="0"/>
          <w:i w:val="0"/>
          <w:sz w:val="22"/>
        </w:rPr>
        <w:t>Lo ejecutado hasta la fecha, tomado de los manifiestos de los seis sprints.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1624"/>
        <w:gridCol w:w="1624"/>
        <w:gridCol w:w="1624"/>
        <w:gridCol w:w="1624"/>
        <w:gridCol w:w="1624"/>
        <w:gridCol w:w="1624"/>
      </w:tblGrid>
      <w:tr>
        <w:tc>
          <w:tcPr>
            <w:tcW w:type="dxa" w:w="1587"/>
            <w:shd w:val="clear" w:color="auto" w:fill="E8E5F7"/>
          </w:tcPr>
          <w:p>
            <w:r/>
            <w:r>
              <w:rPr>
                <w:b/>
                <w:sz w:val="19"/>
              </w:rPr>
              <w:t>Sprint</w:t>
            </w:r>
          </w:p>
        </w:tc>
        <w:tc>
          <w:tcPr>
            <w:tcW w:type="dxa" w:w="1474"/>
            <w:shd w:val="clear" w:color="auto" w:fill="E8E5F7"/>
          </w:tcPr>
          <w:p>
            <w:r/>
            <w:r>
              <w:rPr>
                <w:b/>
                <w:sz w:val="19"/>
              </w:rPr>
              <w:t>Casos</w:t>
            </w:r>
          </w:p>
        </w:tc>
        <w:tc>
          <w:tcPr>
            <w:tcW w:type="dxa" w:w="1587"/>
            <w:shd w:val="clear" w:color="auto" w:fill="E8E5F7"/>
          </w:tcPr>
          <w:p>
            <w:r/>
            <w:r>
              <w:rPr>
                <w:b/>
                <w:sz w:val="19"/>
              </w:rPr>
              <w:t>Conformes</w:t>
            </w:r>
          </w:p>
        </w:tc>
        <w:tc>
          <w:tcPr>
            <w:tcW w:type="dxa" w:w="1587"/>
            <w:shd w:val="clear" w:color="auto" w:fill="E8E5F7"/>
          </w:tcPr>
          <w:p>
            <w:r/>
            <w:r>
              <w:rPr>
                <w:b/>
                <w:sz w:val="19"/>
              </w:rPr>
              <w:t>Historias</w:t>
            </w:r>
          </w:p>
        </w:tc>
        <w:tc>
          <w:tcPr>
            <w:tcW w:type="dxa" w:w="1587"/>
            <w:shd w:val="clear" w:color="auto" w:fill="E8E5F7"/>
          </w:tcPr>
          <w:p>
            <w:r/>
            <w:r>
              <w:rPr>
                <w:b/>
                <w:sz w:val="19"/>
              </w:rPr>
              <w:t>Capturas</w:t>
            </w:r>
          </w:p>
        </w:tc>
        <w:tc>
          <w:tcPr>
            <w:tcW w:type="dxa" w:w="1814"/>
            <w:shd w:val="clear" w:color="auto" w:fill="E8E5F7"/>
          </w:tcPr>
          <w:p>
            <w:r/>
            <w:r>
              <w:rPr>
                <w:b/>
                <w:sz w:val="19"/>
              </w:rPr>
              <w:t>Defectos registrados</w:t>
            </w:r>
          </w:p>
        </w:tc>
      </w:tr>
      <w:tr>
        <w:tc>
          <w:tcPr>
            <w:tcW w:type="dxa" w:w="1587"/>
          </w:tcPr>
          <w:p>
            <w:r/>
            <w:r>
              <w:rPr>
                <w:sz w:val="19"/>
              </w:rPr>
              <w:t>Sprint 1</w:t>
            </w:r>
          </w:p>
        </w:tc>
        <w:tc>
          <w:tcPr>
            <w:tcW w:type="dxa" w:w="1474"/>
          </w:tcPr>
          <w:p>
            <w:r/>
            <w:r>
              <w:rPr>
                <w:sz w:val="19"/>
              </w:rPr>
              <w:t>46</w:t>
            </w:r>
          </w:p>
        </w:tc>
        <w:tc>
          <w:tcPr>
            <w:tcW w:type="dxa" w:w="1587"/>
          </w:tcPr>
          <w:p>
            <w:r/>
            <w:r>
              <w:rPr>
                <w:sz w:val="19"/>
              </w:rPr>
              <w:t>46</w:t>
            </w:r>
          </w:p>
        </w:tc>
        <w:tc>
          <w:tcPr>
            <w:tcW w:type="dxa" w:w="1587"/>
          </w:tcPr>
          <w:p>
            <w:r/>
            <w:r>
              <w:rPr>
                <w:sz w:val="19"/>
              </w:rPr>
              <w:t>17</w:t>
            </w:r>
          </w:p>
        </w:tc>
        <w:tc>
          <w:tcPr>
            <w:tcW w:type="dxa" w:w="1587"/>
          </w:tcPr>
          <w:p>
            <w:r/>
            <w:r>
              <w:rPr>
                <w:sz w:val="19"/>
              </w:rPr>
              <w:t>81</w:t>
            </w:r>
          </w:p>
        </w:tc>
        <w:tc>
          <w:tcPr>
            <w:tcW w:type="dxa" w:w="1814"/>
          </w:tcPr>
          <w:p>
            <w:r/>
            <w:r>
              <w:rPr>
                <w:sz w:val="19"/>
              </w:rPr>
              <w:t>3</w:t>
            </w:r>
          </w:p>
        </w:tc>
      </w:tr>
      <w:tr>
        <w:tc>
          <w:tcPr>
            <w:tcW w:type="dxa" w:w="1587"/>
          </w:tcPr>
          <w:p>
            <w:r/>
            <w:r>
              <w:rPr>
                <w:sz w:val="19"/>
              </w:rPr>
              <w:t>Sprint 2</w:t>
            </w:r>
          </w:p>
        </w:tc>
        <w:tc>
          <w:tcPr>
            <w:tcW w:type="dxa" w:w="1474"/>
          </w:tcPr>
          <w:p>
            <w:r/>
            <w:r>
              <w:rPr>
                <w:sz w:val="19"/>
              </w:rPr>
              <w:t>47</w:t>
            </w:r>
          </w:p>
        </w:tc>
        <w:tc>
          <w:tcPr>
            <w:tcW w:type="dxa" w:w="1587"/>
          </w:tcPr>
          <w:p>
            <w:r/>
            <w:r>
              <w:rPr>
                <w:sz w:val="19"/>
              </w:rPr>
              <w:t>45</w:t>
            </w:r>
          </w:p>
        </w:tc>
        <w:tc>
          <w:tcPr>
            <w:tcW w:type="dxa" w:w="1587"/>
          </w:tcPr>
          <w:p>
            <w:r/>
            <w:r>
              <w:rPr>
                <w:sz w:val="19"/>
              </w:rPr>
              <w:t>18</w:t>
            </w:r>
          </w:p>
        </w:tc>
        <w:tc>
          <w:tcPr>
            <w:tcW w:type="dxa" w:w="1587"/>
          </w:tcPr>
          <w:p>
            <w:r/>
            <w:r>
              <w:rPr>
                <w:sz w:val="19"/>
              </w:rPr>
              <w:t>115</w:t>
            </w:r>
          </w:p>
        </w:tc>
        <w:tc>
          <w:tcPr>
            <w:tcW w:type="dxa" w:w="1814"/>
          </w:tcPr>
          <w:p>
            <w:r/>
            <w:r>
              <w:rPr>
                <w:sz w:val="19"/>
              </w:rPr>
              <w:t>6</w:t>
            </w:r>
          </w:p>
        </w:tc>
      </w:tr>
      <w:tr>
        <w:tc>
          <w:tcPr>
            <w:tcW w:type="dxa" w:w="1587"/>
          </w:tcPr>
          <w:p>
            <w:r/>
            <w:r>
              <w:rPr>
                <w:sz w:val="19"/>
              </w:rPr>
              <w:t>Sprint 3</w:t>
            </w:r>
          </w:p>
        </w:tc>
        <w:tc>
          <w:tcPr>
            <w:tcW w:type="dxa" w:w="1474"/>
          </w:tcPr>
          <w:p>
            <w:r/>
            <w:r>
              <w:rPr>
                <w:sz w:val="19"/>
              </w:rPr>
              <w:t>82</w:t>
            </w:r>
          </w:p>
        </w:tc>
        <w:tc>
          <w:tcPr>
            <w:tcW w:type="dxa" w:w="1587"/>
          </w:tcPr>
          <w:p>
            <w:r/>
            <w:r>
              <w:rPr>
                <w:sz w:val="19"/>
              </w:rPr>
              <w:t>82</w:t>
            </w:r>
          </w:p>
        </w:tc>
        <w:tc>
          <w:tcPr>
            <w:tcW w:type="dxa" w:w="1587"/>
          </w:tcPr>
          <w:p>
            <w:r/>
            <w:r>
              <w:rPr>
                <w:sz w:val="19"/>
              </w:rPr>
              <w:t>28</w:t>
            </w:r>
          </w:p>
        </w:tc>
        <w:tc>
          <w:tcPr>
            <w:tcW w:type="dxa" w:w="1587"/>
          </w:tcPr>
          <w:p>
            <w:r/>
            <w:r>
              <w:rPr>
                <w:sz w:val="19"/>
              </w:rPr>
              <w:t>204</w:t>
            </w:r>
          </w:p>
        </w:tc>
        <w:tc>
          <w:tcPr>
            <w:tcW w:type="dxa" w:w="1814"/>
          </w:tcPr>
          <w:p>
            <w:r/>
            <w:r>
              <w:rPr>
                <w:sz w:val="19"/>
              </w:rPr>
              <w:t>6</w:t>
            </w:r>
          </w:p>
        </w:tc>
      </w:tr>
      <w:tr>
        <w:tc>
          <w:tcPr>
            <w:tcW w:type="dxa" w:w="1587"/>
          </w:tcPr>
          <w:p>
            <w:r/>
            <w:r>
              <w:rPr>
                <w:sz w:val="19"/>
              </w:rPr>
              <w:t>Sprint 4</w:t>
            </w:r>
          </w:p>
        </w:tc>
        <w:tc>
          <w:tcPr>
            <w:tcW w:type="dxa" w:w="1474"/>
          </w:tcPr>
          <w:p>
            <w:r/>
            <w:r>
              <w:rPr>
                <w:sz w:val="19"/>
              </w:rPr>
              <w:t>54</w:t>
            </w:r>
          </w:p>
        </w:tc>
        <w:tc>
          <w:tcPr>
            <w:tcW w:type="dxa" w:w="1587"/>
          </w:tcPr>
          <w:p>
            <w:r/>
            <w:r>
              <w:rPr>
                <w:sz w:val="19"/>
              </w:rPr>
              <w:t>52</w:t>
            </w:r>
          </w:p>
        </w:tc>
        <w:tc>
          <w:tcPr>
            <w:tcW w:type="dxa" w:w="1587"/>
          </w:tcPr>
          <w:p>
            <w:r/>
            <w:r>
              <w:rPr>
                <w:sz w:val="19"/>
              </w:rPr>
              <w:t>14</w:t>
            </w:r>
          </w:p>
        </w:tc>
        <w:tc>
          <w:tcPr>
            <w:tcW w:type="dxa" w:w="1587"/>
          </w:tcPr>
          <w:p>
            <w:r/>
            <w:r>
              <w:rPr>
                <w:sz w:val="19"/>
              </w:rPr>
              <w:t>96</w:t>
            </w:r>
          </w:p>
        </w:tc>
        <w:tc>
          <w:tcPr>
            <w:tcW w:type="dxa" w:w="1814"/>
          </w:tcPr>
          <w:p>
            <w:r/>
            <w:r>
              <w:rPr>
                <w:sz w:val="19"/>
              </w:rPr>
              <w:t>0</w:t>
            </w:r>
          </w:p>
        </w:tc>
      </w:tr>
      <w:tr>
        <w:tc>
          <w:tcPr>
            <w:tcW w:type="dxa" w:w="1587"/>
          </w:tcPr>
          <w:p>
            <w:r/>
            <w:r>
              <w:rPr>
                <w:sz w:val="19"/>
              </w:rPr>
              <w:t>Sprint 5</w:t>
            </w:r>
          </w:p>
        </w:tc>
        <w:tc>
          <w:tcPr>
            <w:tcW w:type="dxa" w:w="1474"/>
          </w:tcPr>
          <w:p>
            <w:r/>
            <w:r>
              <w:rPr>
                <w:sz w:val="19"/>
              </w:rPr>
              <w:t>98</w:t>
            </w:r>
          </w:p>
        </w:tc>
        <w:tc>
          <w:tcPr>
            <w:tcW w:type="dxa" w:w="1587"/>
          </w:tcPr>
          <w:p>
            <w:r/>
            <w:r>
              <w:rPr>
                <w:sz w:val="19"/>
              </w:rPr>
              <w:t>98</w:t>
            </w:r>
          </w:p>
        </w:tc>
        <w:tc>
          <w:tcPr>
            <w:tcW w:type="dxa" w:w="1587"/>
          </w:tcPr>
          <w:p>
            <w:r/>
            <w:r>
              <w:rPr>
                <w:sz w:val="19"/>
              </w:rPr>
              <w:t>32</w:t>
            </w:r>
          </w:p>
        </w:tc>
        <w:tc>
          <w:tcPr>
            <w:tcW w:type="dxa" w:w="1587"/>
          </w:tcPr>
          <w:p>
            <w:r/>
            <w:r>
              <w:rPr>
                <w:sz w:val="19"/>
              </w:rPr>
              <w:t>125</w:t>
            </w:r>
          </w:p>
        </w:tc>
        <w:tc>
          <w:tcPr>
            <w:tcW w:type="dxa" w:w="1814"/>
          </w:tcPr>
          <w:p>
            <w:r/>
            <w:r>
              <w:rPr>
                <w:sz w:val="19"/>
              </w:rPr>
              <w:t>0</w:t>
            </w:r>
          </w:p>
        </w:tc>
      </w:tr>
      <w:tr>
        <w:tc>
          <w:tcPr>
            <w:tcW w:type="dxa" w:w="1587"/>
          </w:tcPr>
          <w:p>
            <w:r/>
            <w:r>
              <w:rPr>
                <w:sz w:val="19"/>
              </w:rPr>
              <w:t>Sprint 6</w:t>
            </w:r>
          </w:p>
        </w:tc>
        <w:tc>
          <w:tcPr>
            <w:tcW w:type="dxa" w:w="1474"/>
          </w:tcPr>
          <w:p>
            <w:r/>
            <w:r>
              <w:rPr>
                <w:sz w:val="19"/>
              </w:rPr>
              <w:t>24</w:t>
            </w:r>
          </w:p>
        </w:tc>
        <w:tc>
          <w:tcPr>
            <w:tcW w:type="dxa" w:w="1587"/>
          </w:tcPr>
          <w:p>
            <w:r/>
            <w:r>
              <w:rPr>
                <w:sz w:val="19"/>
              </w:rPr>
              <w:t>24</w:t>
            </w:r>
          </w:p>
        </w:tc>
        <w:tc>
          <w:tcPr>
            <w:tcW w:type="dxa" w:w="1587"/>
          </w:tcPr>
          <w:p>
            <w:r/>
            <w:r>
              <w:rPr>
                <w:sz w:val="19"/>
              </w:rPr>
              <w:t>9</w:t>
            </w:r>
          </w:p>
        </w:tc>
        <w:tc>
          <w:tcPr>
            <w:tcW w:type="dxa" w:w="1587"/>
          </w:tcPr>
          <w:p>
            <w:r/>
            <w:r>
              <w:rPr>
                <w:sz w:val="19"/>
              </w:rPr>
              <w:t>8</w:t>
            </w:r>
          </w:p>
        </w:tc>
        <w:tc>
          <w:tcPr>
            <w:tcW w:type="dxa" w:w="1814"/>
          </w:tcPr>
          <w:p>
            <w:r/>
            <w:r>
              <w:rPr>
                <w:sz w:val="19"/>
              </w:rPr>
              <w:t>0</w:t>
            </w:r>
          </w:p>
        </w:tc>
      </w:tr>
      <w:tr>
        <w:tc>
          <w:tcPr>
            <w:tcW w:type="dxa" w:w="1587"/>
          </w:tcPr>
          <w:p>
            <w:r/>
            <w:r>
              <w:rPr>
                <w:sz w:val="19"/>
              </w:rPr>
              <w:t>Total</w:t>
            </w:r>
          </w:p>
        </w:tc>
        <w:tc>
          <w:tcPr>
            <w:tcW w:type="dxa" w:w="1474"/>
          </w:tcPr>
          <w:p>
            <w:r/>
            <w:r>
              <w:rPr>
                <w:sz w:val="19"/>
              </w:rPr>
              <w:t>351</w:t>
            </w:r>
          </w:p>
        </w:tc>
        <w:tc>
          <w:tcPr>
            <w:tcW w:type="dxa" w:w="1587"/>
          </w:tcPr>
          <w:p>
            <w:r/>
            <w:r>
              <w:rPr>
                <w:sz w:val="19"/>
              </w:rPr>
              <w:t>347</w:t>
            </w:r>
          </w:p>
        </w:tc>
        <w:tc>
          <w:tcPr>
            <w:tcW w:type="dxa" w:w="1587"/>
          </w:tcPr>
          <w:p>
            <w:r/>
            <w:r>
              <w:rPr>
                <w:sz w:val="19"/>
              </w:rPr>
              <w:t>118</w:t>
            </w:r>
          </w:p>
        </w:tc>
        <w:tc>
          <w:tcPr>
            <w:tcW w:type="dxa" w:w="1587"/>
          </w:tcPr>
          <w:p>
            <w:r/>
            <w:r>
              <w:rPr>
                <w:sz w:val="19"/>
              </w:rPr>
              <w:t>629</w:t>
            </w:r>
          </w:p>
        </w:tc>
        <w:tc>
          <w:tcPr>
            <w:tcW w:type="dxa" w:w="1814"/>
          </w:tcPr>
          <w:p>
            <w:r/>
            <w:r>
              <w:rPr>
                <w:sz w:val="19"/>
              </w:rPr>
              <w:t>15</w:t>
            </w:r>
          </w:p>
        </w:tc>
      </w:tr>
    </w:tbl>
    <w:p>
      <w:pPr>
        <w:spacing w:after="40"/>
      </w:pPr>
    </w:p>
    <w:p>
      <w:pPr>
        <w:spacing w:after="120"/>
      </w:pPr>
      <w:r>
        <w:rPr>
          <w:b w:val="0"/>
          <w:i w:val="0"/>
          <w:sz w:val="20"/>
        </w:rPr>
        <w:t>351 casos de aceptación ejecutados sobre 118 historias de usuario, con 629 capturas de evidencia. Los casos no conformes corresponden a comportamiento de la app sin conexión que se verifica sobre dispositivo y no desde el navegador.</w:t>
      </w:r>
    </w:p>
    <w:p>
      <w:pPr>
        <w:pStyle w:val="Heading2"/>
      </w:pPr>
      <w:r>
        <w:t>8.1 Reparto por tipo de caso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984"/>
            <w:shd w:val="clear" w:color="auto" w:fill="E8E5F7"/>
          </w:tcPr>
          <w:p>
            <w:r/>
            <w:r>
              <w:rPr>
                <w:b/>
                <w:sz w:val="19"/>
              </w:rPr>
              <w:t>Tipo de caso</w:t>
            </w:r>
          </w:p>
        </w:tc>
        <w:tc>
          <w:tcPr>
            <w:tcW w:type="dxa" w:w="1417"/>
            <w:shd w:val="clear" w:color="auto" w:fill="E8E5F7"/>
          </w:tcPr>
          <w:p>
            <w:r/>
            <w:r>
              <w:rPr>
                <w:b/>
                <w:sz w:val="19"/>
              </w:rPr>
              <w:t>Cantidad</w:t>
            </w:r>
          </w:p>
        </w:tc>
        <w:tc>
          <w:tcPr>
            <w:tcW w:type="dxa" w:w="6236"/>
            <w:shd w:val="clear" w:color="auto" w:fill="E8E5F7"/>
          </w:tcPr>
          <w:p>
            <w:r/>
            <w:r>
              <w:rPr>
                <w:b/>
                <w:sz w:val="19"/>
              </w:rPr>
              <w:t>Qué ejercita</w:t>
            </w:r>
          </w:p>
        </w:tc>
      </w:tr>
      <w:tr>
        <w:tc>
          <w:tcPr>
            <w:tcW w:type="dxa" w:w="1984"/>
          </w:tcPr>
          <w:p>
            <w:r/>
            <w:r>
              <w:rPr>
                <w:sz w:val="19"/>
              </w:rPr>
              <w:t>Web</w:t>
            </w:r>
          </w:p>
        </w:tc>
        <w:tc>
          <w:tcPr>
            <w:tcW w:type="dxa" w:w="1417"/>
          </w:tcPr>
          <w:p>
            <w:r/>
            <w:r>
              <w:rPr>
                <w:sz w:val="19"/>
              </w:rPr>
              <w:t>221</w:t>
            </w:r>
          </w:p>
        </w:tc>
        <w:tc>
          <w:tcPr>
            <w:tcW w:type="dxa" w:w="6236"/>
          </w:tcPr>
          <w:p>
            <w:r/>
            <w:r>
              <w:rPr>
                <w:sz w:val="19"/>
              </w:rPr>
              <w:t>Recorrido completo por la interfaz de la Intranet</w:t>
            </w:r>
          </w:p>
        </w:tc>
      </w:tr>
      <w:tr>
        <w:tc>
          <w:tcPr>
            <w:tcW w:type="dxa" w:w="1984"/>
          </w:tcPr>
          <w:p>
            <w:r/>
            <w:r>
              <w:rPr>
                <w:sz w:val="19"/>
              </w:rPr>
              <w:t>API (Swagger)</w:t>
            </w:r>
          </w:p>
        </w:tc>
        <w:tc>
          <w:tcPr>
            <w:tcW w:type="dxa" w:w="1417"/>
          </w:tcPr>
          <w:p>
            <w:r/>
            <w:r>
              <w:rPr>
                <w:sz w:val="19"/>
              </w:rPr>
              <w:t>35</w:t>
            </w:r>
          </w:p>
        </w:tc>
        <w:tc>
          <w:tcPr>
            <w:tcW w:type="dxa" w:w="6236"/>
          </w:tcPr>
          <w:p>
            <w:r/>
            <w:r>
              <w:rPr>
                <w:sz w:val="19"/>
              </w:rPr>
              <w:t>Endpoints de la API con el token de cada perfil, desde la interfaz de Swagger</w:t>
            </w:r>
          </w:p>
        </w:tc>
      </w:tr>
      <w:tr>
        <w:tc>
          <w:tcPr>
            <w:tcW w:type="dxa" w:w="1984"/>
          </w:tcPr>
          <w:p>
            <w:r/>
            <w:r>
              <w:rPr>
                <w:sz w:val="19"/>
              </w:rPr>
              <w:t>API</w:t>
            </w:r>
          </w:p>
        </w:tc>
        <w:tc>
          <w:tcPr>
            <w:tcW w:type="dxa" w:w="1417"/>
          </w:tcPr>
          <w:p>
            <w:r/>
            <w:r>
              <w:rPr>
                <w:sz w:val="19"/>
              </w:rPr>
              <w:t>34</w:t>
            </w:r>
          </w:p>
        </w:tc>
        <w:tc>
          <w:tcPr>
            <w:tcW w:type="dxa" w:w="6236"/>
          </w:tcPr>
          <w:p>
            <w:r/>
            <w:r>
              <w:rPr>
                <w:sz w:val="19"/>
              </w:rPr>
              <w:t>Llamadas directas a la API, incluidas las de rechazo</w:t>
            </w:r>
          </w:p>
        </w:tc>
      </w:tr>
      <w:tr>
        <w:tc>
          <w:tcPr>
            <w:tcW w:type="dxa" w:w="1984"/>
          </w:tcPr>
          <w:p>
            <w:r/>
            <w:r>
              <w:rPr>
                <w:sz w:val="19"/>
              </w:rPr>
              <w:t>BD</w:t>
            </w:r>
          </w:p>
        </w:tc>
        <w:tc>
          <w:tcPr>
            <w:tcW w:type="dxa" w:w="1417"/>
          </w:tcPr>
          <w:p>
            <w:r/>
            <w:r>
              <w:rPr>
                <w:sz w:val="19"/>
              </w:rPr>
              <w:t>26</w:t>
            </w:r>
          </w:p>
        </w:tc>
        <w:tc>
          <w:tcPr>
            <w:tcW w:type="dxa" w:w="6236"/>
          </w:tcPr>
          <w:p>
            <w:r/>
            <w:r>
              <w:rPr>
                <w:sz w:val="19"/>
              </w:rPr>
              <w:t>Procedimientos almacenados y verificación del dato en la base</w:t>
            </w:r>
          </w:p>
        </w:tc>
      </w:tr>
      <w:tr>
        <w:tc>
          <w:tcPr>
            <w:tcW w:type="dxa" w:w="1984"/>
          </w:tcPr>
          <w:p>
            <w:r/>
            <w:r>
              <w:rPr>
                <w:sz w:val="19"/>
              </w:rPr>
              <w:t>App y App/API</w:t>
            </w:r>
          </w:p>
        </w:tc>
        <w:tc>
          <w:tcPr>
            <w:tcW w:type="dxa" w:w="1417"/>
          </w:tcPr>
          <w:p>
            <w:r/>
            <w:r>
              <w:rPr>
                <w:sz w:val="19"/>
              </w:rPr>
              <w:t>3</w:t>
            </w:r>
          </w:p>
        </w:tc>
        <w:tc>
          <w:tcPr>
            <w:tcW w:type="dxa" w:w="6236"/>
          </w:tcPr>
          <w:p>
            <w:r/>
            <w:r>
              <w:rPr>
                <w:sz w:val="19"/>
              </w:rPr>
              <w:t>Comportamiento de la app móvil contra la API</w:t>
            </w:r>
          </w:p>
        </w:tc>
      </w:tr>
    </w:tbl>
    <w:p>
      <w:pPr>
        <w:spacing w:after="40"/>
      </w:pPr>
    </w:p>
    <w:p>
      <w:pPr>
        <w:pStyle w:val="Heading2"/>
      </w:pPr>
      <w:r>
        <w:t>8.2 Pruebas unitarias de la app móvil</w:t>
      </w:r>
    </w:p>
    <w:p>
      <w:pPr>
        <w:spacing w:after="120"/>
      </w:pPr>
      <w:r>
        <w:rPr>
          <w:b w:val="0"/>
          <w:i w:val="0"/>
          <w:sz w:val="22"/>
        </w:rPr>
        <w:t>132 pruebas unitarias en 13 archivos: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835"/>
            <w:shd w:val="clear" w:color="auto" w:fill="E8E5F7"/>
          </w:tcPr>
          <w:p>
            <w:r/>
            <w:r>
              <w:rPr>
                <w:b/>
                <w:sz w:val="19"/>
              </w:rPr>
              <w:t>Archivo</w:t>
            </w:r>
          </w:p>
        </w:tc>
        <w:tc>
          <w:tcPr>
            <w:tcW w:type="dxa" w:w="1134"/>
            <w:shd w:val="clear" w:color="auto" w:fill="E8E5F7"/>
          </w:tcPr>
          <w:p>
            <w:r/>
            <w:r>
              <w:rPr>
                <w:b/>
                <w:sz w:val="19"/>
              </w:rPr>
              <w:t>Pruebas</w:t>
            </w:r>
          </w:p>
        </w:tc>
        <w:tc>
          <w:tcPr>
            <w:tcW w:type="dxa" w:w="5669"/>
            <w:shd w:val="clear" w:color="auto" w:fill="E8E5F7"/>
          </w:tcPr>
          <w:p>
            <w:r/>
            <w:r>
              <w:rPr>
                <w:b/>
                <w:sz w:val="19"/>
              </w:rPr>
              <w:t>Qué cubre</w:t>
            </w:r>
          </w:p>
        </w:tc>
      </w:tr>
      <w:tr>
        <w:tc>
          <w:tcPr>
            <w:tcW w:type="dxa" w:w="2835"/>
          </w:tcPr>
          <w:p>
            <w:r/>
            <w:r>
              <w:rPr>
                <w:sz w:val="19"/>
              </w:rPr>
              <w:t>widget_test.dart</w:t>
            </w:r>
          </w:p>
        </w:tc>
        <w:tc>
          <w:tcPr>
            <w:tcW w:type="dxa" w:w="1134"/>
          </w:tcPr>
          <w:p>
            <w:r/>
            <w:r>
              <w:rPr>
                <w:sz w:val="19"/>
              </w:rPr>
              <w:t>26</w:t>
            </w:r>
          </w:p>
        </w:tc>
        <w:tc>
          <w:tcPr>
            <w:tcW w:type="dxa" w:w="5669"/>
          </w:tcPr>
          <w:p>
            <w:r/>
            <w:r>
              <w:rPr>
                <w:sz w:val="19"/>
              </w:rPr>
              <w:t>Arranque de la app, navegacion y render de las pantallas base</w:t>
            </w:r>
          </w:p>
        </w:tc>
      </w:tr>
      <w:tr>
        <w:tc>
          <w:tcPr>
            <w:tcW w:type="dxa" w:w="2835"/>
          </w:tcPr>
          <w:p>
            <w:r/>
            <w:r>
              <w:rPr>
                <w:sz w:val="19"/>
              </w:rPr>
              <w:t>cache_datos_test.dart</w:t>
            </w:r>
          </w:p>
        </w:tc>
        <w:tc>
          <w:tcPr>
            <w:tcW w:type="dxa" w:w="1134"/>
          </w:tcPr>
          <w:p>
            <w:r/>
            <w:r>
              <w:rPr>
                <w:sz w:val="19"/>
              </w:rPr>
              <w:t>20</w:t>
            </w:r>
          </w:p>
        </w:tc>
        <w:tc>
          <w:tcPr>
            <w:tcW w:type="dxa" w:w="5669"/>
          </w:tcPr>
          <w:p>
            <w:r/>
            <w:r>
              <w:rPr>
                <w:sz w:val="19"/>
              </w:rPr>
              <w:t>Cache local y cola de sincronizacion: que lo registrado sin senal no se pierda</w:t>
            </w:r>
          </w:p>
        </w:tc>
      </w:tr>
      <w:tr>
        <w:tc>
          <w:tcPr>
            <w:tcW w:type="dxa" w:w="2835"/>
          </w:tcPr>
          <w:p>
            <w:r/>
            <w:r>
              <w:rPr>
                <w:sz w:val="19"/>
              </w:rPr>
              <w:t>voz_test.dart</w:t>
            </w:r>
          </w:p>
        </w:tc>
        <w:tc>
          <w:tcPr>
            <w:tcW w:type="dxa" w:w="1134"/>
          </w:tcPr>
          <w:p>
            <w:r/>
            <w:r>
              <w:rPr>
                <w:sz w:val="19"/>
              </w:rPr>
              <w:t>16</w:t>
            </w:r>
          </w:p>
        </w:tc>
        <w:tc>
          <w:tcPr>
            <w:tcW w:type="dxa" w:w="5669"/>
          </w:tcPr>
          <w:p>
            <w:r/>
            <w:r>
              <w:rPr>
                <w:sz w:val="19"/>
              </w:rPr>
              <w:t>Dictado por voz: normalizacion del texto reconocido y comandos</w:t>
            </w:r>
          </w:p>
        </w:tc>
      </w:tr>
      <w:tr>
        <w:tc>
          <w:tcPr>
            <w:tcW w:type="dxa" w:w="2835"/>
          </w:tcPr>
          <w:p>
            <w:r/>
            <w:r>
              <w:rPr>
                <w:sz w:val="19"/>
              </w:rPr>
              <w:t>tarea_test.dart</w:t>
            </w:r>
          </w:p>
        </w:tc>
        <w:tc>
          <w:tcPr>
            <w:tcW w:type="dxa" w:w="1134"/>
          </w:tcPr>
          <w:p>
            <w:r/>
            <w:r>
              <w:rPr>
                <w:sz w:val="19"/>
              </w:rPr>
              <w:t>13</w:t>
            </w:r>
          </w:p>
        </w:tc>
        <w:tc>
          <w:tcPr>
            <w:tcW w:type="dxa" w:w="5669"/>
          </w:tcPr>
          <w:p>
            <w:r/>
            <w:r>
              <w:rPr>
                <w:sz w:val="19"/>
              </w:rPr>
              <w:t>Reglas de la tarea en terreno: estados y transiciones</w:t>
            </w:r>
          </w:p>
        </w:tc>
      </w:tr>
      <w:tr>
        <w:tc>
          <w:tcPr>
            <w:tcW w:type="dxa" w:w="2835"/>
          </w:tcPr>
          <w:p>
            <w:r/>
            <w:r>
              <w:rPr>
                <w:sz w:val="19"/>
              </w:rPr>
              <w:t>prediccion_test.dart</w:t>
            </w:r>
          </w:p>
        </w:tc>
        <w:tc>
          <w:tcPr>
            <w:tcW w:type="dxa" w:w="1134"/>
          </w:tcPr>
          <w:p>
            <w:r/>
            <w:r>
              <w:rPr>
                <w:sz w:val="19"/>
              </w:rPr>
              <w:t>11</w:t>
            </w:r>
          </w:p>
        </w:tc>
        <w:tc>
          <w:tcPr>
            <w:tcW w:type="dxa" w:w="5669"/>
          </w:tcPr>
          <w:p>
            <w:r/>
            <w:r>
              <w:rPr>
                <w:sz w:val="19"/>
              </w:rPr>
              <w:t>Lectura de la prediccion de SIGMA AI y sus umbrales</w:t>
            </w:r>
          </w:p>
        </w:tc>
      </w:tr>
      <w:tr>
        <w:tc>
          <w:tcPr>
            <w:tcW w:type="dxa" w:w="2835"/>
          </w:tcPr>
          <w:p>
            <w:r/>
            <w:r>
              <w:rPr>
                <w:sz w:val="19"/>
              </w:rPr>
              <w:t>altos_escalados_test.dart</w:t>
            </w:r>
          </w:p>
        </w:tc>
        <w:tc>
          <w:tcPr>
            <w:tcW w:type="dxa" w:w="1134"/>
          </w:tcPr>
          <w:p>
            <w:r/>
            <w:r>
              <w:rPr>
                <w:sz w:val="19"/>
              </w:rPr>
              <w:t>8</w:t>
            </w:r>
          </w:p>
        </w:tc>
        <w:tc>
          <w:tcPr>
            <w:tcW w:type="dxa" w:w="5669"/>
          </w:tcPr>
          <w:p>
            <w:r/>
            <w:r>
              <w:rPr>
                <w:sz w:val="19"/>
              </w:rPr>
              <w:t>Escalado vertical de la interfaz segun el tamano de letra del sistema</w:t>
            </w:r>
          </w:p>
        </w:tc>
      </w:tr>
      <w:tr>
        <w:tc>
          <w:tcPr>
            <w:tcW w:type="dxa" w:w="2835"/>
          </w:tcPr>
          <w:p>
            <w:r/>
            <w:r>
              <w:rPr>
                <w:sz w:val="19"/>
              </w:rPr>
              <w:t>buscador_test.dart</w:t>
            </w:r>
          </w:p>
        </w:tc>
        <w:tc>
          <w:tcPr>
            <w:tcW w:type="dxa" w:w="1134"/>
          </w:tcPr>
          <w:p>
            <w:r/>
            <w:r>
              <w:rPr>
                <w:sz w:val="19"/>
              </w:rPr>
              <w:t>7</w:t>
            </w:r>
          </w:p>
        </w:tc>
        <w:tc>
          <w:tcPr>
            <w:tcW w:type="dxa" w:w="5669"/>
          </w:tcPr>
          <w:p>
            <w:r/>
            <w:r>
              <w:rPr>
                <w:sz w:val="19"/>
              </w:rPr>
              <w:t>Buscador local: coincidencias, acentos y vacios</w:t>
            </w:r>
          </w:p>
        </w:tc>
      </w:tr>
      <w:tr>
        <w:tc>
          <w:tcPr>
            <w:tcW w:type="dxa" w:w="2835"/>
          </w:tcPr>
          <w:p>
            <w:r/>
            <w:r>
              <w:rPr>
                <w:sz w:val="19"/>
              </w:rPr>
              <w:t>componentes_test.dart</w:t>
            </w:r>
          </w:p>
        </w:tc>
        <w:tc>
          <w:tcPr>
            <w:tcW w:type="dxa" w:w="1134"/>
          </w:tcPr>
          <w:p>
            <w:r/>
            <w:r>
              <w:rPr>
                <w:sz w:val="19"/>
              </w:rPr>
              <w:t>7</w:t>
            </w:r>
          </w:p>
        </w:tc>
        <w:tc>
          <w:tcPr>
            <w:tcW w:type="dxa" w:w="5669"/>
          </w:tcPr>
          <w:p>
            <w:r/>
            <w:r>
              <w:rPr>
                <w:sz w:val="19"/>
              </w:rPr>
              <w:t>Componentes propios de la app</w:t>
            </w:r>
          </w:p>
        </w:tc>
      </w:tr>
      <w:tr>
        <w:tc>
          <w:tcPr>
            <w:tcW w:type="dxa" w:w="2835"/>
          </w:tcPr>
          <w:p>
            <w:r/>
            <w:r>
              <w:rPr>
                <w:sz w:val="19"/>
              </w:rPr>
              <w:t>anchos_escalados_test.dart</w:t>
            </w:r>
          </w:p>
        </w:tc>
        <w:tc>
          <w:tcPr>
            <w:tcW w:type="dxa" w:w="1134"/>
          </w:tcPr>
          <w:p>
            <w:r/>
            <w:r>
              <w:rPr>
                <w:sz w:val="19"/>
              </w:rPr>
              <w:t>6</w:t>
            </w:r>
          </w:p>
        </w:tc>
        <w:tc>
          <w:tcPr>
            <w:tcW w:type="dxa" w:w="5669"/>
          </w:tcPr>
          <w:p>
            <w:r/>
            <w:r>
              <w:rPr>
                <w:sz w:val="19"/>
              </w:rPr>
              <w:t>Escalado horizontal y corte de texto</w:t>
            </w:r>
          </w:p>
        </w:tc>
      </w:tr>
      <w:tr>
        <w:tc>
          <w:tcPr>
            <w:tcW w:type="dxa" w:w="2835"/>
          </w:tcPr>
          <w:p>
            <w:r/>
            <w:r>
              <w:rPr>
                <w:sz w:val="19"/>
              </w:rPr>
              <w:t>cronometro_test.dart</w:t>
            </w:r>
          </w:p>
        </w:tc>
        <w:tc>
          <w:tcPr>
            <w:tcW w:type="dxa" w:w="1134"/>
          </w:tcPr>
          <w:p>
            <w:r/>
            <w:r>
              <w:rPr>
                <w:sz w:val="19"/>
              </w:rPr>
              <w:t>6</w:t>
            </w:r>
          </w:p>
        </w:tc>
        <w:tc>
          <w:tcPr>
            <w:tcW w:type="dxa" w:w="5669"/>
          </w:tcPr>
          <w:p>
            <w:r/>
            <w:r>
              <w:rPr>
                <w:sz w:val="19"/>
              </w:rPr>
              <w:t>Cronometro de mano de obra</w:t>
            </w:r>
          </w:p>
        </w:tc>
      </w:tr>
      <w:tr>
        <w:tc>
          <w:tcPr>
            <w:tcW w:type="dxa" w:w="2835"/>
          </w:tcPr>
          <w:p>
            <w:r/>
            <w:r>
              <w:rPr>
                <w:sz w:val="19"/>
              </w:rPr>
              <w:t>silencio_test.dart</w:t>
            </w:r>
          </w:p>
        </w:tc>
        <w:tc>
          <w:tcPr>
            <w:tcW w:type="dxa" w:w="1134"/>
          </w:tcPr>
          <w:p>
            <w:r/>
            <w:r>
              <w:rPr>
                <w:sz w:val="19"/>
              </w:rPr>
              <w:t>4</w:t>
            </w:r>
          </w:p>
        </w:tc>
        <w:tc>
          <w:tcPr>
            <w:tcW w:type="dxa" w:w="5669"/>
          </w:tcPr>
          <w:p>
            <w:r/>
            <w:r>
              <w:rPr>
                <w:sz w:val="19"/>
              </w:rPr>
              <w:t>Modo silencio y accesibilidad</w:t>
            </w:r>
          </w:p>
        </w:tc>
      </w:tr>
      <w:tr>
        <w:tc>
          <w:tcPr>
            <w:tcW w:type="dxa" w:w="2835"/>
          </w:tcPr>
          <w:p>
            <w:r/>
            <w:r>
              <w:rPr>
                <w:sz w:val="19"/>
              </w:rPr>
              <w:t>tarjeta_ia_test.dart</w:t>
            </w:r>
          </w:p>
        </w:tc>
        <w:tc>
          <w:tcPr>
            <w:tcW w:type="dxa" w:w="1134"/>
          </w:tcPr>
          <w:p>
            <w:r/>
            <w:r>
              <w:rPr>
                <w:sz w:val="19"/>
              </w:rPr>
              <w:t>4</w:t>
            </w:r>
          </w:p>
        </w:tc>
        <w:tc>
          <w:tcPr>
            <w:tcW w:type="dxa" w:w="5669"/>
          </w:tcPr>
          <w:p>
            <w:r/>
            <w:r>
              <w:rPr>
                <w:sz w:val="19"/>
              </w:rPr>
              <w:t>Tarjeta de SIGMA AI</w:t>
            </w:r>
          </w:p>
        </w:tc>
      </w:tr>
      <w:tr>
        <w:tc>
          <w:tcPr>
            <w:tcW w:type="dxa" w:w="2835"/>
          </w:tcPr>
          <w:p>
            <w:r/>
            <w:r>
              <w:rPr>
                <w:sz w:val="19"/>
              </w:rPr>
              <w:t>tramo_tiempo_test.dart</w:t>
            </w:r>
          </w:p>
        </w:tc>
        <w:tc>
          <w:tcPr>
            <w:tcW w:type="dxa" w:w="1134"/>
          </w:tcPr>
          <w:p>
            <w:r/>
            <w:r>
              <w:rPr>
                <w:sz w:val="19"/>
              </w:rPr>
              <w:t>4</w:t>
            </w:r>
          </w:p>
        </w:tc>
        <w:tc>
          <w:tcPr>
            <w:tcW w:type="dxa" w:w="5669"/>
          </w:tcPr>
          <w:p>
            <w:r/>
            <w:r>
              <w:rPr>
                <w:sz w:val="19"/>
              </w:rPr>
              <w:t>Tramos de tiempo y calculo de minutos</w:t>
            </w:r>
          </w:p>
        </w:tc>
      </w:tr>
    </w:tbl>
    <w:p>
      <w:pPr>
        <w:spacing w:after="40"/>
      </w:pPr>
    </w:p>
    <w:p>
      <w:pPr>
        <w:pStyle w:val="Heading2"/>
      </w:pPr>
      <w:r>
        <w:t>8.3 Pruebas unitarias de la API</w:t>
      </w:r>
    </w:p>
    <w:p>
      <w:pPr>
        <w:spacing w:after="120"/>
      </w:pPr>
      <w:r>
        <w:rPr>
          <w:b w:val="0"/>
          <w:i w:val="0"/>
          <w:sz w:val="22"/>
        </w:rPr>
        <w:t>36 pruebas unitarias en el proyecto «API.Pruebas» de la solución, que corren con «dotnet test» sin servidor web ni base de datos. El proyecto enlaza los mismos archivos fuente que compila la API, de modo que lo que se prueba es el código real y no una copia: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835"/>
            <w:shd w:val="clear" w:color="auto" w:fill="E8E5F7"/>
          </w:tcPr>
          <w:p>
            <w:r/>
            <w:r>
              <w:rPr>
                <w:b/>
                <w:sz w:val="19"/>
              </w:rPr>
              <w:t>Qué se prueba</w:t>
            </w:r>
          </w:p>
        </w:tc>
        <w:tc>
          <w:tcPr>
            <w:tcW w:type="dxa" w:w="1020"/>
            <w:shd w:val="clear" w:color="auto" w:fill="E8E5F7"/>
          </w:tcPr>
          <w:p>
            <w:r/>
            <w:r>
              <w:rPr>
                <w:b/>
                <w:sz w:val="19"/>
              </w:rPr>
              <w:t>Pruebas</w:t>
            </w:r>
          </w:p>
        </w:tc>
        <w:tc>
          <w:tcPr>
            <w:tcW w:type="dxa" w:w="5783"/>
            <w:shd w:val="clear" w:color="auto" w:fill="E8E5F7"/>
          </w:tcPr>
          <w:p>
            <w:r/>
            <w:r>
              <w:rPr>
                <w:b/>
                <w:sz w:val="19"/>
              </w:rPr>
              <w:t>Por qué ahí</w:t>
            </w:r>
          </w:p>
        </w:tc>
      </w:tr>
      <w:tr>
        <w:tc>
          <w:tcPr>
            <w:tcW w:type="dxa" w:w="2835"/>
          </w:tcPr>
          <w:p>
            <w:r/>
            <w:r>
              <w:rPr>
                <w:sz w:val="19"/>
              </w:rPr>
              <w:t>PuntuadorFalla — la regresión logística de SIGMA AI</w:t>
            </w:r>
          </w:p>
        </w:tc>
        <w:tc>
          <w:tcPr>
            <w:tcW w:type="dxa" w:w="1020"/>
          </w:tcPr>
          <w:p>
            <w:r/>
            <w:r>
              <w:rPr>
                <w:sz w:val="19"/>
              </w:rPr>
              <w:t>21</w:t>
            </w:r>
          </w:p>
        </w:tc>
        <w:tc>
          <w:tcPr>
            <w:tcW w:type="dxa" w:w="5783"/>
          </w:tcPr>
          <w:p>
            <w:r/>
            <w:r>
              <w:rPr>
                <w:sz w:val="19"/>
              </w:rPr>
              <w:t>Es aritmética: estandarización, sigmoide, imputación de la característica que falta, orden de las contribuciones y el umbral bajo el cual una contribución no merece una frase. Si se verificara solo mirando el panel, un signo cambiado daría un número distinto pero igual de verosímil y nadie lo notaría</w:t>
            </w:r>
          </w:p>
        </w:tc>
      </w:tr>
      <w:tr>
        <w:tc>
          <w:tcPr>
            <w:tcW w:type="dxa" w:w="2835"/>
          </w:tcPr>
          <w:p>
            <w:r/>
            <w:r>
              <w:rPr>
                <w:sz w:val="19"/>
              </w:rPr>
              <w:t>Pagina y Paginado — el tope de página de la API</w:t>
            </w:r>
          </w:p>
        </w:tc>
        <w:tc>
          <w:tcPr>
            <w:tcW w:type="dxa" w:w="1020"/>
          </w:tcPr>
          <w:p>
            <w:r/>
            <w:r>
              <w:rPr>
                <w:sz w:val="19"/>
              </w:rPr>
              <w:t>15</w:t>
            </w:r>
          </w:p>
        </w:tc>
        <w:tc>
          <w:tcPr>
            <w:tcW w:type="dxa" w:w="5783"/>
          </w:tcPr>
          <w:p>
            <w:r/>
            <w:r>
              <w:rPr>
                <w:sz w:val="19"/>
              </w:rPr>
              <w:t>Verifica RNF-12 en la pieza misma: que un tamaño abusivo se recorte al tope, que recorrer todas las páginas devuelva la lista completa sin perder ni duplicar una fila, y que pedir una página más allá del final devuelva vacío en vez de fallar</w:t>
            </w:r>
          </w:p>
        </w:tc>
      </w:tr>
    </w:tbl>
    <w:p>
      <w:pPr>
        <w:spacing w:after="40"/>
      </w:pPr>
    </w:p>
    <w:p>
      <w:pPr>
        <w:spacing w:after="120"/>
      </w:pPr>
      <w:r>
        <w:rPr>
          <w:b w:val="0"/>
          <w:i w:val="0"/>
          <w:sz w:val="22"/>
        </w:rPr>
        <w:t>Las pruebas se validaron con una comprobación de mutación: se alteró a propósito el signo de la sigmoide y se anuló el tope de página, se verificó que seis pruebas fallaran, y se restauró el código comprobando que los archivos quedaran idénticos. Una prueba que no falla cuando el código se rompe no está probando nada.</w:t>
      </w:r>
    </w:p>
    <w:p>
      <w:pPr>
        <w:pStyle w:val="Heading2"/>
      </w:pPr>
      <w:r>
        <w:t>8.4 Mediciones de rendimiento</w:t>
      </w:r>
    </w:p>
    <w:p>
      <w:pPr>
        <w:spacing w:after="120"/>
      </w:pPr>
      <w:r>
        <w:rPr>
          <w:b w:val="0"/>
          <w:i w:val="0"/>
          <w:sz w:val="22"/>
        </w:rPr>
        <w:t>Ejecutadas el 01-10-2026 y documentadas aparte, en «SIGMA_Mediciones_Rendimiento.docx». Resumen: los umbrales de respuesta de la API se cumplen con holgura, el tope de página se aplica en el servidor, y la medición dejó planteada una consulta a revisar (SEL_ORDEN_TRABAJO hace unas 87 lecturas lógicas por fila devuelta, cuatro veces lo de las demás). RNF-19 —comportamiento con volumen de producción— no queda verificado: la base sobre la que se midió tiene el volumen del piloto, no el de un cliente en operación.</w:t>
      </w:r>
    </w:p>
    <w:p>
      <w:pPr>
        <w:pStyle w:val="Heading2"/>
      </w:pPr>
      <w:r>
        <w:t>8.5 Defectos encontrados y corregidos</w:t>
      </w:r>
    </w:p>
    <w:p>
      <w:pPr>
        <w:spacing w:after="120"/>
      </w:pPr>
      <w:r>
        <w:rPr>
          <w:b w:val="0"/>
          <w:i w:val="0"/>
          <w:sz w:val="22"/>
        </w:rPr>
        <w:t>Los 15 defectos detectados durante las pruebas, todos corregidos dentro del sprint en que aparecieron y con su caso de regresión incorporado: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020"/>
            <w:shd w:val="clear" w:color="auto" w:fill="E8E5F7"/>
          </w:tcPr>
          <w:p>
            <w:r/>
            <w:r>
              <w:rPr>
                <w:b/>
                <w:sz w:val="18"/>
              </w:rPr>
              <w:t>Sprint</w:t>
            </w:r>
          </w:p>
        </w:tc>
        <w:tc>
          <w:tcPr>
            <w:tcW w:type="dxa" w:w="1361"/>
            <w:shd w:val="clear" w:color="auto" w:fill="E8E5F7"/>
          </w:tcPr>
          <w:p>
            <w:r/>
            <w:r>
              <w:rPr>
                <w:b/>
                <w:sz w:val="18"/>
              </w:rPr>
              <w:t>Historia</w:t>
            </w:r>
          </w:p>
        </w:tc>
        <w:tc>
          <w:tcPr>
            <w:tcW w:type="dxa" w:w="7257"/>
            <w:shd w:val="clear" w:color="auto" w:fill="E8E5F7"/>
          </w:tcPr>
          <w:p>
            <w:r/>
            <w:r>
              <w:rPr>
                <w:b/>
                <w:sz w:val="18"/>
              </w:rPr>
              <w:t>Defecto</w:t>
            </w:r>
          </w:p>
        </w:tc>
      </w:tr>
      <w:tr>
        <w:tc>
          <w:tcPr>
            <w:tcW w:type="dxa" w:w="1020"/>
          </w:tcPr>
          <w:p>
            <w:r/>
            <w:r>
              <w:rPr>
                <w:sz w:val="18"/>
              </w:rPr>
              <w:t>S1</w:t>
            </w:r>
          </w:p>
        </w:tc>
        <w:tc>
          <w:tcPr>
            <w:tcW w:type="dxa" w:w="1361"/>
          </w:tcPr>
          <w:p>
            <w:r/>
            <w:r>
              <w:rPr>
                <w:sz w:val="18"/>
              </w:rPr>
              <w:t>HU-010</w:t>
            </w:r>
          </w:p>
        </w:tc>
        <w:tc>
          <w:tcPr>
            <w:tcW w:type="dxa" w:w="7257"/>
          </w:tcPr>
          <w:p>
            <w:r/>
            <w:r>
              <w:rPr>
                <w:sz w:val="18"/>
              </w:rPr>
              <w:t>dar de baja al cliente dejaba fuera a la cuenta de plataforma</w:t>
            </w:r>
          </w:p>
        </w:tc>
      </w:tr>
      <w:tr>
        <w:tc>
          <w:tcPr>
            <w:tcW w:type="dxa" w:w="1020"/>
          </w:tcPr>
          <w:p>
            <w:r/>
            <w:r>
              <w:rPr>
                <w:sz w:val="18"/>
              </w:rPr>
              <w:t>S1</w:t>
            </w:r>
          </w:p>
        </w:tc>
        <w:tc>
          <w:tcPr>
            <w:tcW w:type="dxa" w:w="1361"/>
          </w:tcPr>
          <w:p>
            <w:r/>
            <w:r>
              <w:rPr>
                <w:sz w:val="18"/>
              </w:rPr>
              <w:t>HU-021</w:t>
            </w:r>
          </w:p>
        </w:tc>
        <w:tc>
          <w:tcPr>
            <w:tcW w:type="dxa" w:w="7257"/>
          </w:tcPr>
          <w:p>
            <w:r/>
            <w:r>
              <w:rPr>
                <w:sz w:val="18"/>
              </w:rPr>
              <w:t>«Nuevo valor» abría la ficha sin catálogo</w:t>
            </w:r>
          </w:p>
        </w:tc>
      </w:tr>
      <w:tr>
        <w:tc>
          <w:tcPr>
            <w:tcW w:type="dxa" w:w="1020"/>
          </w:tcPr>
          <w:p>
            <w:r/>
            <w:r>
              <w:rPr>
                <w:sz w:val="18"/>
              </w:rPr>
              <w:t>S1</w:t>
            </w:r>
          </w:p>
        </w:tc>
        <w:tc>
          <w:tcPr>
            <w:tcW w:type="dxa" w:w="1361"/>
          </w:tcPr>
          <w:p>
            <w:r/>
            <w:r>
              <w:rPr>
                <w:sz w:val="18"/>
              </w:rPr>
              <w:t>HU-016</w:t>
            </w:r>
          </w:p>
        </w:tc>
        <w:tc>
          <w:tcPr>
            <w:tcW w:type="dxa" w:w="7257"/>
          </w:tcPr>
          <w:p>
            <w:r/>
            <w:r>
              <w:rPr>
                <w:sz w:val="18"/>
              </w:rPr>
              <w:t>asignar una orden a un grupo moría en la regla 3</w:t>
            </w:r>
          </w:p>
        </w:tc>
      </w:tr>
      <w:tr>
        <w:tc>
          <w:tcPr>
            <w:tcW w:type="dxa" w:w="1020"/>
          </w:tcPr>
          <w:p>
            <w:r/>
            <w:r>
              <w:rPr>
                <w:sz w:val="18"/>
              </w:rPr>
              <w:t>S2</w:t>
            </w:r>
          </w:p>
        </w:tc>
        <w:tc>
          <w:tcPr>
            <w:tcW w:type="dxa" w:w="1361"/>
          </w:tcPr>
          <w:p>
            <w:r/>
            <w:r>
              <w:rPr>
                <w:sz w:val="18"/>
              </w:rPr>
              <w:t>HU-193</w:t>
            </w:r>
          </w:p>
        </w:tc>
        <w:tc>
          <w:tcPr>
            <w:tcW w:type="dxa" w:w="7257"/>
          </w:tcPr>
          <w:p>
            <w:r/>
            <w:r>
              <w:rPr>
                <w:sz w:val="18"/>
              </w:rPr>
              <w:t>la compuerta de suscripción rebotaba a la cuenta de plataforma</w:t>
            </w:r>
          </w:p>
        </w:tc>
      </w:tr>
      <w:tr>
        <w:tc>
          <w:tcPr>
            <w:tcW w:type="dxa" w:w="1020"/>
          </w:tcPr>
          <w:p>
            <w:r/>
            <w:r>
              <w:rPr>
                <w:sz w:val="18"/>
              </w:rPr>
              <w:t>S2</w:t>
            </w:r>
          </w:p>
        </w:tc>
        <w:tc>
          <w:tcPr>
            <w:tcW w:type="dxa" w:w="1361"/>
          </w:tcPr>
          <w:p>
            <w:r/>
            <w:r>
              <w:rPr>
                <w:sz w:val="18"/>
              </w:rPr>
              <w:t>HU-194</w:t>
            </w:r>
          </w:p>
        </w:tc>
        <w:tc>
          <w:tcPr>
            <w:tcW w:type="dxa" w:w="7257"/>
          </w:tcPr>
          <w:p>
            <w:r/>
            <w:r>
              <w:rPr>
                <w:sz w:val="18"/>
              </w:rPr>
              <w:t>«Declarar pago» no abría nada en Mi suscripción</w:t>
            </w:r>
          </w:p>
        </w:tc>
      </w:tr>
      <w:tr>
        <w:tc>
          <w:tcPr>
            <w:tcW w:type="dxa" w:w="1020"/>
          </w:tcPr>
          <w:p>
            <w:r/>
            <w:r>
              <w:rPr>
                <w:sz w:val="18"/>
              </w:rPr>
              <w:t>S2</w:t>
            </w:r>
          </w:p>
        </w:tc>
        <w:tc>
          <w:tcPr>
            <w:tcW w:type="dxa" w:w="1361"/>
          </w:tcPr>
          <w:p>
            <w:r/>
            <w:r>
              <w:rPr>
                <w:sz w:val="18"/>
              </w:rPr>
              <w:t>HU-041</w:t>
            </w:r>
          </w:p>
        </w:tc>
        <w:tc>
          <w:tcPr>
            <w:tcW w:type="dxa" w:w="7257"/>
          </w:tcPr>
          <w:p>
            <w:r/>
            <w:r>
              <w:rPr>
                <w:sz w:val="18"/>
              </w:rPr>
              <w:t>la API descartaba el veredicto de los umbrales</w:t>
            </w:r>
          </w:p>
        </w:tc>
      </w:tr>
      <w:tr>
        <w:tc>
          <w:tcPr>
            <w:tcW w:type="dxa" w:w="1020"/>
          </w:tcPr>
          <w:p>
            <w:r/>
            <w:r>
              <w:rPr>
                <w:sz w:val="18"/>
              </w:rPr>
              <w:t>S2</w:t>
            </w:r>
          </w:p>
        </w:tc>
        <w:tc>
          <w:tcPr>
            <w:tcW w:type="dxa" w:w="1361"/>
          </w:tcPr>
          <w:p>
            <w:r/>
            <w:r>
              <w:rPr>
                <w:sz w:val="18"/>
              </w:rPr>
              <w:t>HU-190</w:t>
            </w:r>
          </w:p>
        </w:tc>
        <w:tc>
          <w:tcPr>
            <w:tcW w:type="dxa" w:w="7257"/>
          </w:tcPr>
          <w:p>
            <w:r/>
            <w:r>
              <w:rPr>
                <w:sz w:val="18"/>
              </w:rPr>
              <w:t>un plan sin precio no aparecía en el listado</w:t>
            </w:r>
          </w:p>
        </w:tc>
      </w:tr>
      <w:tr>
        <w:tc>
          <w:tcPr>
            <w:tcW w:type="dxa" w:w="1020"/>
          </w:tcPr>
          <w:p>
            <w:r/>
            <w:r>
              <w:rPr>
                <w:sz w:val="18"/>
              </w:rPr>
              <w:t>S2</w:t>
            </w:r>
          </w:p>
        </w:tc>
        <w:tc>
          <w:tcPr>
            <w:tcW w:type="dxa" w:w="1361"/>
          </w:tcPr>
          <w:p>
            <w:r/>
            <w:r>
              <w:rPr>
                <w:sz w:val="18"/>
              </w:rPr>
              <w:t>HU-035</w:t>
            </w:r>
          </w:p>
        </w:tc>
        <w:tc>
          <w:tcPr>
            <w:tcW w:type="dxa" w:w="7257"/>
          </w:tcPr>
          <w:p>
            <w:r/>
            <w:r>
              <w:rPr>
                <w:sz w:val="18"/>
              </w:rPr>
              <w:t>un activo podía colgar de su propio subactivo</w:t>
            </w:r>
          </w:p>
        </w:tc>
      </w:tr>
      <w:tr>
        <w:tc>
          <w:tcPr>
            <w:tcW w:type="dxa" w:w="1020"/>
          </w:tcPr>
          <w:p>
            <w:r/>
            <w:r>
              <w:rPr>
                <w:sz w:val="18"/>
              </w:rPr>
              <w:t>S2</w:t>
            </w:r>
          </w:p>
        </w:tc>
        <w:tc>
          <w:tcPr>
            <w:tcW w:type="dxa" w:w="1361"/>
          </w:tcPr>
          <w:p>
            <w:r/>
            <w:r>
              <w:rPr>
                <w:sz w:val="18"/>
              </w:rPr>
              <w:t>HU-036</w:t>
            </w:r>
          </w:p>
        </w:tc>
        <w:tc>
          <w:tcPr>
            <w:tcW w:type="dxa" w:w="7257"/>
          </w:tcPr>
          <w:p>
            <w:r/>
            <w:r>
              <w:rPr>
                <w:sz w:val="18"/>
              </w:rPr>
              <w:t>Guardar de la ficha del componente moría en silencio al editar</w:t>
            </w:r>
          </w:p>
        </w:tc>
      </w:tr>
      <w:tr>
        <w:tc>
          <w:tcPr>
            <w:tcW w:type="dxa" w:w="1020"/>
          </w:tcPr>
          <w:p>
            <w:r/>
            <w:r>
              <w:rPr>
                <w:sz w:val="18"/>
              </w:rPr>
              <w:t>S3</w:t>
            </w:r>
          </w:p>
        </w:tc>
        <w:tc>
          <w:tcPr>
            <w:tcW w:type="dxa" w:w="1361"/>
          </w:tcPr>
          <w:p>
            <w:r/>
            <w:r>
              <w:rPr>
                <w:sz w:val="18"/>
              </w:rPr>
              <w:t>HU-050</w:t>
            </w:r>
          </w:p>
        </w:tc>
        <w:tc>
          <w:tcPr>
            <w:tcW w:type="dxa" w:w="7257"/>
          </w:tcPr>
          <w:p>
            <w:r/>
            <w:r>
              <w:rPr>
                <w:sz w:val="18"/>
              </w:rPr>
              <w:t>INS_REPUESTO «too many arguments»</w:t>
            </w:r>
          </w:p>
        </w:tc>
      </w:tr>
      <w:tr>
        <w:tc>
          <w:tcPr>
            <w:tcW w:type="dxa" w:w="1020"/>
          </w:tcPr>
          <w:p>
            <w:r/>
            <w:r>
              <w:rPr>
                <w:sz w:val="18"/>
              </w:rPr>
              <w:t>S3</w:t>
            </w:r>
          </w:p>
        </w:tc>
        <w:tc>
          <w:tcPr>
            <w:tcW w:type="dxa" w:w="1361"/>
          </w:tcPr>
          <w:p>
            <w:r/>
            <w:r>
              <w:rPr>
                <w:sz w:val="18"/>
              </w:rPr>
              <w:t>HU-059</w:t>
            </w:r>
          </w:p>
        </w:tc>
        <w:tc>
          <w:tcPr>
            <w:tcW w:type="dxa" w:w="7257"/>
          </w:tcPr>
          <w:p>
            <w:r/>
            <w:r>
              <w:rPr>
                <w:sz w:val="18"/>
              </w:rPr>
              <w:t>la ficha de existencia decía «sin registrar» con varios cubos</w:t>
            </w:r>
          </w:p>
        </w:tc>
      </w:tr>
      <w:tr>
        <w:tc>
          <w:tcPr>
            <w:tcW w:type="dxa" w:w="1020"/>
          </w:tcPr>
          <w:p>
            <w:r/>
            <w:r>
              <w:rPr>
                <w:sz w:val="18"/>
              </w:rPr>
              <w:t>S3</w:t>
            </w:r>
          </w:p>
        </w:tc>
        <w:tc>
          <w:tcPr>
            <w:tcW w:type="dxa" w:w="1361"/>
          </w:tcPr>
          <w:p>
            <w:r/>
            <w:r>
              <w:rPr>
                <w:sz w:val="18"/>
              </w:rPr>
              <w:t>HU-066</w:t>
            </w:r>
          </w:p>
        </w:tc>
        <w:tc>
          <w:tcPr>
            <w:tcW w:type="dxa" w:w="7257"/>
          </w:tcPr>
          <w:p>
            <w:r/>
            <w:r>
              <w:rPr>
                <w:sz w:val="18"/>
              </w:rPr>
              <w:t>el rollo térmico se imprimía con página A4</w:t>
            </w:r>
          </w:p>
        </w:tc>
      </w:tr>
      <w:tr>
        <w:tc>
          <w:tcPr>
            <w:tcW w:type="dxa" w:w="1020"/>
          </w:tcPr>
          <w:p>
            <w:r/>
            <w:r>
              <w:rPr>
                <w:sz w:val="18"/>
              </w:rPr>
              <w:t>S3</w:t>
            </w:r>
          </w:p>
        </w:tc>
        <w:tc>
          <w:tcPr>
            <w:tcW w:type="dxa" w:w="1361"/>
          </w:tcPr>
          <w:p>
            <w:r/>
            <w:r>
              <w:rPr>
                <w:sz w:val="18"/>
              </w:rPr>
              <w:t>HU-067</w:t>
            </w:r>
          </w:p>
        </w:tc>
        <w:tc>
          <w:tcPr>
            <w:tcW w:type="dxa" w:w="7257"/>
          </w:tcPr>
          <w:p>
            <w:r/>
            <w:r>
              <w:rPr>
                <w:sz w:val="18"/>
              </w:rPr>
              <w:t>el código impreso no se podía teclear si no era el token</w:t>
            </w:r>
          </w:p>
        </w:tc>
      </w:tr>
      <w:tr>
        <w:tc>
          <w:tcPr>
            <w:tcW w:type="dxa" w:w="1020"/>
          </w:tcPr>
          <w:p>
            <w:r/>
            <w:r>
              <w:rPr>
                <w:sz w:val="18"/>
              </w:rPr>
              <w:t>S3</w:t>
            </w:r>
          </w:p>
        </w:tc>
        <w:tc>
          <w:tcPr>
            <w:tcW w:type="dxa" w:w="1361"/>
          </w:tcPr>
          <w:p>
            <w:r/>
            <w:r>
              <w:rPr>
                <w:sz w:val="18"/>
              </w:rPr>
              <w:t>HU-068</w:t>
            </w:r>
          </w:p>
        </w:tc>
        <w:tc>
          <w:tcPr>
            <w:tcW w:type="dxa" w:w="7257"/>
          </w:tcPr>
          <w:p>
            <w:r/>
            <w:r>
              <w:rPr>
                <w:sz w:val="18"/>
              </w:rPr>
              <w:t>el administrador del cliente no podía cargar repuestos</w:t>
            </w:r>
          </w:p>
        </w:tc>
      </w:tr>
      <w:tr>
        <w:tc>
          <w:tcPr>
            <w:tcW w:type="dxa" w:w="1020"/>
          </w:tcPr>
          <w:p>
            <w:r/>
            <w:r>
              <w:rPr>
                <w:sz w:val="18"/>
              </w:rPr>
              <w:t>S3</w:t>
            </w:r>
          </w:p>
        </w:tc>
        <w:tc>
          <w:tcPr>
            <w:tcW w:type="dxa" w:w="1361"/>
          </w:tcPr>
          <w:p>
            <w:r/>
            <w:r>
              <w:rPr>
                <w:sz w:val="18"/>
              </w:rPr>
              <w:t>HU-077</w:t>
            </w:r>
          </w:p>
        </w:tc>
        <w:tc>
          <w:tcPr>
            <w:tcW w:type="dxa" w:w="7257"/>
          </w:tcPr>
          <w:p>
            <w:r/>
            <w:r>
              <w:rPr>
                <w:sz w:val="18"/>
              </w:rPr>
              <w:t>el detector de inventario nunca cerraba una alerta</w:t>
            </w:r>
          </w:p>
        </w:tc>
      </w:tr>
    </w:tbl>
    <w:p>
      <w:pPr>
        <w:spacing w:after="40"/>
      </w:pPr>
    </w:p>
    <w:p>
      <w:pPr>
        <w:pStyle w:val="Heading1"/>
      </w:pPr>
      <w:r>
        <w:t>9. Trazabilidad</w:t>
      </w:r>
    </w:p>
    <w:p>
      <w:pPr>
        <w:spacing w:after="120"/>
      </w:pPr>
      <w:r>
        <w:rPr>
          <w:b w:val="0"/>
          <w:i w:val="0"/>
          <w:sz w:val="22"/>
        </w:rPr>
        <w:t>La cadena que permite responder «¿dónde se probó esto?» sin buscar a mano: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268"/>
            <w:shd w:val="clear" w:color="auto" w:fill="E8E5F7"/>
          </w:tcPr>
          <w:p>
            <w:r/>
            <w:r>
              <w:rPr>
                <w:b/>
                <w:sz w:val="19"/>
              </w:rPr>
              <w:t>Desde</w:t>
            </w:r>
          </w:p>
        </w:tc>
        <w:tc>
          <w:tcPr>
            <w:tcW w:type="dxa" w:w="2551"/>
            <w:shd w:val="clear" w:color="auto" w:fill="E8E5F7"/>
          </w:tcPr>
          <w:p>
            <w:r/>
            <w:r>
              <w:rPr>
                <w:b/>
                <w:sz w:val="19"/>
              </w:rPr>
              <w:t>Hacia</w:t>
            </w:r>
          </w:p>
        </w:tc>
        <w:tc>
          <w:tcPr>
            <w:tcW w:type="dxa" w:w="4819"/>
            <w:shd w:val="clear" w:color="auto" w:fill="E8E5F7"/>
          </w:tcPr>
          <w:p>
            <w:r/>
            <w:r>
              <w:rPr>
                <w:b/>
                <w:sz w:val="19"/>
              </w:rPr>
              <w:t>Dónde está</w:t>
            </w:r>
          </w:p>
        </w:tc>
      </w:tr>
      <w:tr>
        <w:tc>
          <w:tcPr>
            <w:tcW w:type="dxa" w:w="2268"/>
          </w:tcPr>
          <w:p>
            <w:r/>
            <w:r>
              <w:rPr>
                <w:sz w:val="19"/>
              </w:rPr>
              <w:t>Historia de usuario</w:t>
            </w:r>
          </w:p>
        </w:tc>
        <w:tc>
          <w:tcPr>
            <w:tcW w:type="dxa" w:w="2551"/>
          </w:tcPr>
          <w:p>
            <w:r/>
            <w:r>
              <w:rPr>
                <w:sz w:val="19"/>
              </w:rPr>
              <w:t>Sus criterios de aceptación</w:t>
            </w:r>
          </w:p>
        </w:tc>
        <w:tc>
          <w:tcPr>
            <w:tcW w:type="dxa" w:w="4819"/>
          </w:tcPr>
          <w:p>
            <w:r/>
            <w:r>
              <w:rPr>
                <w:sz w:val="19"/>
              </w:rPr>
              <w:t>Hoja «Criterios de aceptación» del Sprint Backlog</w:t>
            </w:r>
          </w:p>
        </w:tc>
      </w:tr>
      <w:tr>
        <w:tc>
          <w:tcPr>
            <w:tcW w:type="dxa" w:w="2268"/>
          </w:tcPr>
          <w:p>
            <w:r/>
            <w:r>
              <w:rPr>
                <w:sz w:val="19"/>
              </w:rPr>
              <w:t>Criterio de aceptación</w:t>
            </w:r>
          </w:p>
        </w:tc>
        <w:tc>
          <w:tcPr>
            <w:tcW w:type="dxa" w:w="2551"/>
          </w:tcPr>
          <w:p>
            <w:r/>
            <w:r>
              <w:rPr>
                <w:sz w:val="19"/>
              </w:rPr>
              <w:t>Su caso de prueba</w:t>
            </w:r>
          </w:p>
        </w:tc>
        <w:tc>
          <w:tcPr>
            <w:tcW w:type="dxa" w:w="4819"/>
          </w:tcPr>
          <w:p>
            <w:r/>
            <w:r>
              <w:rPr>
                <w:sz w:val="19"/>
              </w:rPr>
              <w:t>Campos «hu» y «criterio» de cada caso del manifiesto</w:t>
            </w:r>
          </w:p>
        </w:tc>
      </w:tr>
      <w:tr>
        <w:tc>
          <w:tcPr>
            <w:tcW w:type="dxa" w:w="2268"/>
          </w:tcPr>
          <w:p>
            <w:r/>
            <w:r>
              <w:rPr>
                <w:sz w:val="19"/>
              </w:rPr>
              <w:t>Caso de prueba</w:t>
            </w:r>
          </w:p>
        </w:tc>
        <w:tc>
          <w:tcPr>
            <w:tcW w:type="dxa" w:w="2551"/>
          </w:tcPr>
          <w:p>
            <w:r/>
            <w:r>
              <w:rPr>
                <w:sz w:val="19"/>
              </w:rPr>
              <w:t>Su evidencia</w:t>
            </w:r>
          </w:p>
        </w:tc>
        <w:tc>
          <w:tcPr>
            <w:tcW w:type="dxa" w:w="4819"/>
          </w:tcPr>
          <w:p>
            <w:r/>
            <w:r>
              <w:rPr>
                <w:sz w:val="19"/>
              </w:rPr>
              <w:t>Capturas referidas por el caso, en la carpeta del sprint</w:t>
            </w:r>
          </w:p>
        </w:tc>
      </w:tr>
      <w:tr>
        <w:tc>
          <w:tcPr>
            <w:tcW w:type="dxa" w:w="2268"/>
          </w:tcPr>
          <w:p>
            <w:r/>
            <w:r>
              <w:rPr>
                <w:sz w:val="19"/>
              </w:rPr>
              <w:t>Caso de prueba</w:t>
            </w:r>
          </w:p>
        </w:tc>
        <w:tc>
          <w:tcPr>
            <w:tcW w:type="dxa" w:w="2551"/>
          </w:tcPr>
          <w:p>
            <w:r/>
            <w:r>
              <w:rPr>
                <w:sz w:val="19"/>
              </w:rPr>
              <w:t>El informe del sprint</w:t>
            </w:r>
          </w:p>
        </w:tc>
        <w:tc>
          <w:tcPr>
            <w:tcW w:type="dxa" w:w="4819"/>
          </w:tcPr>
          <w:p>
            <w:r/>
            <w:r>
              <w:rPr>
                <w:sz w:val="19"/>
              </w:rPr>
              <w:t>El informe se genera desde el manifiesto</w:t>
            </w:r>
          </w:p>
        </w:tc>
      </w:tr>
      <w:tr>
        <w:tc>
          <w:tcPr>
            <w:tcW w:type="dxa" w:w="2268"/>
          </w:tcPr>
          <w:p>
            <w:r/>
            <w:r>
              <w:rPr>
                <w:sz w:val="19"/>
              </w:rPr>
              <w:t>Requisito no funcional</w:t>
            </w:r>
          </w:p>
        </w:tc>
        <w:tc>
          <w:tcPr>
            <w:tcW w:type="dxa" w:w="2551"/>
          </w:tcPr>
          <w:p>
            <w:r/>
            <w:r>
              <w:rPr>
                <w:sz w:val="19"/>
              </w:rPr>
              <w:t>Los casos que lo verifican</w:t>
            </w:r>
          </w:p>
        </w:tc>
        <w:tc>
          <w:tcPr>
            <w:tcW w:type="dxa" w:w="4819"/>
          </w:tcPr>
          <w:p>
            <w:r/>
            <w:r>
              <w:rPr>
                <w:sz w:val="19"/>
              </w:rPr>
              <w:t>Requisito citado en los tipos de prueba de la sección 3</w:t>
            </w:r>
          </w:p>
        </w:tc>
      </w:tr>
    </w:tbl>
    <w:p>
      <w:pPr>
        <w:spacing w:after="40"/>
      </w:pPr>
    </w:p>
    <w:p>
      <w:pPr>
        <w:pStyle w:val="Heading1"/>
      </w:pPr>
      <w:r>
        <w:t>10. Riesgos de la estrategia y cómo se contienen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252"/>
            <w:shd w:val="clear" w:color="auto" w:fill="E8E5F7"/>
          </w:tcPr>
          <w:p>
            <w:r/>
            <w:r>
              <w:rPr>
                <w:b/>
                <w:sz w:val="19"/>
              </w:rPr>
              <w:t>Riesgo</w:t>
            </w:r>
          </w:p>
        </w:tc>
        <w:tc>
          <w:tcPr>
            <w:tcW w:type="dxa" w:w="5386"/>
            <w:shd w:val="clear" w:color="auto" w:fill="E8E5F7"/>
          </w:tcPr>
          <w:p>
            <w:r/>
            <w:r>
              <w:rPr>
                <w:b/>
                <w:sz w:val="19"/>
              </w:rPr>
              <w:t>Cómo se contiene</w:t>
            </w:r>
          </w:p>
        </w:tc>
      </w:tr>
      <w:tr>
        <w:tc>
          <w:tcPr>
            <w:tcW w:type="dxa" w:w="4252"/>
          </w:tcPr>
          <w:p>
            <w:r/>
            <w:r>
              <w:rPr>
                <w:sz w:val="19"/>
              </w:rPr>
              <w:t>Que una prueba automatizada pase por una razón equivocada: la pantalla muestra lo correcto pero el dato quedó mal</w:t>
            </w:r>
          </w:p>
        </w:tc>
        <w:tc>
          <w:tcPr>
            <w:tcW w:type="dxa" w:w="5386"/>
          </w:tcPr>
          <w:p>
            <w:r/>
            <w:r>
              <w:rPr>
                <w:sz w:val="19"/>
              </w:rPr>
              <w:t>Los casos que escriben verifican el resultado en la base con sqlcmd, no solo el mensaje de la pantalla</w:t>
            </w:r>
          </w:p>
        </w:tc>
      </w:tr>
      <w:tr>
        <w:tc>
          <w:tcPr>
            <w:tcW w:type="dxa" w:w="4252"/>
          </w:tcPr>
          <w:p>
            <w:r/>
            <w:r>
              <w:rPr>
                <w:sz w:val="19"/>
              </w:rPr>
              <w:t>Que probar siempre con un usuario administrador oculte un fallo de permisos</w:t>
            </w:r>
          </w:p>
        </w:tc>
        <w:tc>
          <w:tcPr>
            <w:tcW w:type="dxa" w:w="5386"/>
          </w:tcPr>
          <w:p>
            <w:r/>
            <w:r>
              <w:rPr>
                <w:sz w:val="19"/>
              </w:rPr>
              <w:t>Cada caso declara su usuario y los casos de permiso se ejecutan con el perfil que NO debe poder</w:t>
            </w:r>
          </w:p>
        </w:tc>
      </w:tr>
      <w:tr>
        <w:tc>
          <w:tcPr>
            <w:tcW w:type="dxa" w:w="4252"/>
          </w:tcPr>
          <w:p>
            <w:r/>
            <w:r>
              <w:rPr>
                <w:sz w:val="19"/>
              </w:rPr>
              <w:t>Que una corrida dependa de otra y falle en otro orden</w:t>
            </w:r>
          </w:p>
        </w:tc>
        <w:tc>
          <w:tcPr>
            <w:tcW w:type="dxa" w:w="5386"/>
          </w:tcPr>
          <w:p>
            <w:r/>
            <w:r>
              <w:rPr>
                <w:sz w:val="19"/>
              </w:rPr>
              <w:t>Cada caso crea los datos que necesita</w:t>
            </w:r>
          </w:p>
        </w:tc>
      </w:tr>
      <w:tr>
        <w:tc>
          <w:tcPr>
            <w:tcW w:type="dxa" w:w="4252"/>
          </w:tcPr>
          <w:p>
            <w:r/>
            <w:r>
              <w:rPr>
                <w:sz w:val="19"/>
              </w:rPr>
              <w:t>Que el documento diga algo distinto de lo que la corrida arrojó</w:t>
            </w:r>
          </w:p>
        </w:tc>
        <w:tc>
          <w:tcPr>
            <w:tcW w:type="dxa" w:w="5386"/>
          </w:tcPr>
          <w:p>
            <w:r/>
            <w:r>
              <w:rPr>
                <w:sz w:val="19"/>
              </w:rPr>
              <w:t>El informe de pruebas se genera desde el manifiesto; no se transcribe a mano</w:t>
            </w:r>
          </w:p>
        </w:tc>
      </w:tr>
      <w:tr>
        <w:tc>
          <w:tcPr>
            <w:tcW w:type="dxa" w:w="4252"/>
          </w:tcPr>
          <w:p>
            <w:r/>
            <w:r>
              <w:rPr>
                <w:sz w:val="19"/>
              </w:rPr>
              <w:t>Que el rendimiento se mida sobre una base vacía y no diga nada</w:t>
            </w:r>
          </w:p>
        </w:tc>
        <w:tc>
          <w:tcPr>
            <w:tcW w:type="dxa" w:w="5386"/>
          </w:tcPr>
          <w:p>
            <w:r/>
            <w:r>
              <w:rPr>
                <w:sz w:val="19"/>
              </w:rPr>
              <w:t>Las mediciones se ejecutan sobre la base de pruebas cargada con el volumen esperado en operación</w:t>
            </w:r>
          </w:p>
        </w:tc>
      </w:tr>
      <w:tr>
        <w:tc>
          <w:tcPr>
            <w:tcW w:type="dxa" w:w="4252"/>
          </w:tcPr>
          <w:p>
            <w:r/>
            <w:r>
              <w:rPr>
                <w:sz w:val="19"/>
              </w:rPr>
              <w:t>Que la cobertura de la app móvil dependa de tener el dispositivo a mano</w:t>
            </w:r>
          </w:p>
        </w:tc>
        <w:tc>
          <w:tcPr>
            <w:tcW w:type="dxa" w:w="5386"/>
          </w:tcPr>
          <w:p>
            <w:r/>
            <w:r>
              <w:rPr>
                <w:sz w:val="19"/>
              </w:rPr>
              <w:t>La lógica que puede probarse sin dispositivo está en pruebas unitarias; sobre dispositivo quedan solo los recorridos que exigen cámara, señal o voz</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