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SPRINT REVIEW · SPRINT 2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Acta de la revisión del incremento con el cliente · 29 de septiembre de 2026 · Sprint 2 «Activos» (16-09-2026 al 29-09-2026)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Evento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Review (Guía Scrum 2020): inspección del Incremento y adaptación del Product Backlog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Sprint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Sprint 2 · Activos · del 16-09-2026 al 29-09-2026 · 22 historias · 109 puntos comprometidos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Fecha y duración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29-09-2026 · 16:00 a 17:30 (1,5 h; timebox máximo 4 h para un Sprint de dos semanas)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Lugar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Sala de reuniones de Hamburgo S.A., Planta Renca · videollamada para el equipo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Facilita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 (Scrum Master)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Presenta el incremento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Bryan Chávez y Emilio Fuentes (Developers)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Registra el acta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Emilio Fuentes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Producto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SIGMA · cliente piloto Hamburgo S.A.</w:t>
            </w:r>
          </w:p>
        </w:tc>
      </w:tr>
    </w:tbl>
    <w:p>
      <w:pPr>
        <w:spacing w:after="40"/>
      </w:pPr>
    </w:p>
    <w:p>
      <w:pPr>
        <w:pStyle w:val="Heading1"/>
      </w:pPr>
      <w:r>
        <w:t>1. Asistentes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9"/>
              </w:rPr>
              <w:t>Organización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Código Creativo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Hamburgo S.A.</w:t>
            </w:r>
          </w:p>
        </w:tc>
      </w:tr>
    </w:tbl>
    <w:p>
      <w:pPr>
        <w:spacing w:after="40"/>
      </w:pPr>
    </w:p>
    <w:p>
      <w:pPr>
        <w:pStyle w:val="Heading1"/>
      </w:pPr>
      <w:r>
        <w:t>2. Objetivo del Sprint</w:t>
      </w:r>
    </w:p>
    <w:p>
      <w:pPr>
        <w:spacing w:after="120"/>
      </w:pPr>
      <w:r>
        <w:rPr>
          <w:b w:val="0"/>
          <w:i w:val="0"/>
          <w:sz w:val="22"/>
        </w:rPr>
        <w:t>«Activos»: que la planta exista dentro de SIGMA —sus posiciones funcionales, los equipos que las ocupan, sus componentes, atributos técnicos y medidores—, con el módulo comercial de suscripciones. Tras la Sprint Review 1, la parte de la app (consulta en terreno por QR y sincronización) se entrega en el Sprint 6.</w:t>
      </w:r>
    </w:p>
    <w:p>
      <w:pPr>
        <w:pStyle w:val="Heading1"/>
      </w:pPr>
      <w:r>
        <w:t>3. Incremento presentado</w:t>
      </w:r>
    </w:p>
    <w:p>
      <w:pPr>
        <w:spacing w:after="120"/>
      </w:pPr>
      <w:r>
        <w:rPr>
          <w:b w:val="0"/>
          <w:i w:val="0"/>
          <w:sz w:val="22"/>
        </w:rPr>
        <w:t>Estado de las 22 historias comprometidas al cierre del Sprint: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907"/>
            <w:shd w:val="clear" w:color="auto" w:fill="E8E5F7"/>
          </w:tcPr>
          <w:p>
            <w:r/>
            <w:r>
              <w:rPr>
                <w:b/>
                <w:sz w:val="18"/>
              </w:rPr>
              <w:t>HU</w:t>
            </w:r>
          </w:p>
        </w:tc>
        <w:tc>
          <w:tcPr>
            <w:tcW w:type="dxa" w:w="4082"/>
            <w:shd w:val="clear" w:color="auto" w:fill="E8E5F7"/>
          </w:tcPr>
          <w:p>
            <w:r/>
            <w:r>
              <w:rPr>
                <w:b/>
                <w:sz w:val="18"/>
              </w:rPr>
              <w:t>Historia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8"/>
              </w:rPr>
              <w:t>Plataforma</w:t>
            </w:r>
          </w:p>
        </w:tc>
        <w:tc>
          <w:tcPr>
            <w:tcW w:type="dxa" w:w="567"/>
            <w:shd w:val="clear" w:color="auto" w:fill="E8E5F7"/>
          </w:tcPr>
          <w:p>
            <w:r/>
            <w:r>
              <w:rPr>
                <w:b/>
                <w:sz w:val="18"/>
              </w:rPr>
              <w:t>Pts</w:t>
            </w:r>
          </w:p>
        </w:tc>
        <w:tc>
          <w:tcPr>
            <w:tcW w:type="dxa" w:w="1361"/>
            <w:shd w:val="clear" w:color="auto" w:fill="E8E5F7"/>
          </w:tcPr>
          <w:p>
            <w:r/>
            <w:r>
              <w:rPr>
                <w:b/>
                <w:sz w:val="18"/>
              </w:rPr>
              <w:t>Estado al cierre</w:t>
            </w:r>
          </w:p>
        </w:tc>
        <w:tc>
          <w:tcPr>
            <w:tcW w:type="dxa" w:w="1474"/>
            <w:shd w:val="clear" w:color="auto" w:fill="E8E5F7"/>
          </w:tcPr>
          <w:p>
            <w:r/>
            <w:r>
              <w:rPr>
                <w:b/>
                <w:sz w:val="18"/>
              </w:rPr>
              <w:t>Responsable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tipos de activo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modelos de activo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Definir los atributos técnicos de un tipo de activo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una posición funcional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Generar e imprimir el código QR de una posición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un activo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los componentes de un activo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la ficha y el historial de un activo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HU-038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Cambiar el estado de un activo indicando el motivo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HU-040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unidades de medida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HU-041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variables de condición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HU-042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Configurar el medidor de un activo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Emilio Fuentes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HU-043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una lectura de medidor desde terreno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Movida a Sprint 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HU-044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una medición de condición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Movida a Sprint 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HU-045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la serie histórica de una variable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HU-150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Sincronizar los datos hacia el dispositivo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Movida a Sprint 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HU-154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Escanear el código QR de una posición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Movida a Sprint 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HU-190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Administrar planes comerciales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HU-191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Contratar o renovar una suscripción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HU-192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Consultar el estado de mi suscripción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HU-193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Bloquear el acceso por suscripción vencida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 y App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HU-194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Registrar el pago de una suscripción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Web</w:t>
            </w:r>
          </w:p>
        </w:tc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Terminada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Bryan Chávez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Resumen: 18 historias terminadas (83 puntos) y 4 movidas al Sprint 6 por ser de la app móvil (26 puntos), según la Decisión 1 de la Sprint Review 1. El informe de pruebas del Sprint 2 ejercitó 47 casos de aceptación, de los que 45 cumplen; los 2 que no cumplen son criterios de la app sin conexión (HU-193 #4, HU-037 #3), que se verifican en el Sprint 6.</w:t>
      </w:r>
    </w:p>
    <w:p>
      <w:pPr>
        <w:pStyle w:val="Heading2"/>
      </w:pPr>
      <w:r>
        <w:t>3.1 Lo que se demostró</w:t>
      </w:r>
    </w:p>
    <w:p>
      <w:pPr>
        <w:pStyle w:val="ListBullet"/>
        <w:spacing w:after="60"/>
      </w:pPr>
      <w:r>
        <w:rPr>
          <w:sz w:val="21"/>
        </w:rPr>
        <w:t>Posiciones funcionales de la planta con su código QR impreso en hoja de etiquetas (HU-033, HU-034).</w:t>
      </w:r>
    </w:p>
    <w:p>
      <w:pPr>
        <w:pStyle w:val="ListBullet"/>
        <w:spacing w:after="60"/>
      </w:pPr>
      <w:r>
        <w:rPr>
          <w:sz w:val="21"/>
        </w:rPr>
        <w:t>Alta de activo con serie única por cliente, sus componentes y la ficha del activo con su historial (HU-035, HU-036, HU-037).</w:t>
      </w:r>
    </w:p>
    <w:p>
      <w:pPr>
        <w:pStyle w:val="ListBullet"/>
        <w:spacing w:after="60"/>
      </w:pPr>
      <w:r>
        <w:rPr>
          <w:sz w:val="21"/>
        </w:rPr>
        <w:t>Cambio de estado del activo con motivo obligatorio (HU-038).</w:t>
      </w:r>
    </w:p>
    <w:p>
      <w:pPr>
        <w:pStyle w:val="ListBullet"/>
        <w:spacing w:after="60"/>
      </w:pPr>
      <w:r>
        <w:rPr>
          <w:sz w:val="21"/>
        </w:rPr>
        <w:t>Tipos, modelos y atributos técnicos por tipo de activo (HU-030, HU-031, HU-032).</w:t>
      </w:r>
    </w:p>
    <w:p>
      <w:pPr>
        <w:pStyle w:val="ListBullet"/>
        <w:spacing w:after="60"/>
      </w:pPr>
      <w:r>
        <w:rPr>
          <w:sz w:val="21"/>
        </w:rPr>
        <w:t>Unidades de medida, variables de condición, configuración del medidor y serie histórica de una variable con gráfico (HU-040, HU-041, HU-042, HU-045).</w:t>
      </w:r>
    </w:p>
    <w:p>
      <w:pPr>
        <w:pStyle w:val="ListBullet"/>
        <w:spacing w:after="60"/>
      </w:pPr>
      <w:r>
        <w:rPr>
          <w:sz w:val="21"/>
        </w:rPr>
        <w:t>Módulo comercial: planes, contratación y renovación, estado de la suscripción, registro del pago y bloqueo por suscripción vencida (HU-190 a HU-194).</w:t>
      </w:r>
    </w:p>
    <w:p>
      <w:pPr>
        <w:pStyle w:val="Heading2"/>
      </w:pPr>
      <w:r>
        <w:t>3.2 Lo que NO se entregó y por qué</w:t>
      </w:r>
    </w:p>
    <w:p>
      <w:pPr>
        <w:pStyle w:val="ListBullet"/>
        <w:spacing w:after="60"/>
      </w:pPr>
      <w:r>
        <w:rPr>
          <w:sz w:val="21"/>
        </w:rPr>
        <w:t>HU-150 Sincronizar los datos hacia el dispositivo (App): movida al Sprint 6 por ser de la app móvil. El lado servidor que consumirá la app ya está construido.</w:t>
      </w:r>
    </w:p>
    <w:p>
      <w:pPr>
        <w:pStyle w:val="ListBullet"/>
        <w:spacing w:after="60"/>
      </w:pPr>
      <w:r>
        <w:rPr>
          <w:sz w:val="21"/>
        </w:rPr>
        <w:t>HU-043 Registrar una lectura de medidor desde terreno (App): movida al Sprint 6 por ser de la app móvil. El lado servidor que consumirá la app ya está construido.</w:t>
      </w:r>
    </w:p>
    <w:p>
      <w:pPr>
        <w:pStyle w:val="ListBullet"/>
        <w:spacing w:after="60"/>
      </w:pPr>
      <w:r>
        <w:rPr>
          <w:sz w:val="21"/>
        </w:rPr>
        <w:t>HU-154 Escanear el código QR de una posición (App): movida al Sprint 6 por ser de la app móvil. El lado servidor que consumirá la app ya está construido.</w:t>
      </w:r>
    </w:p>
    <w:p>
      <w:pPr>
        <w:pStyle w:val="ListBullet"/>
        <w:spacing w:after="60"/>
      </w:pPr>
      <w:r>
        <w:rPr>
          <w:sz w:val="21"/>
        </w:rPr>
        <w:t>HU-044 Registrar una medición de condición (App): movida al Sprint 6 por ser de la app móvil. El lado servidor que consumirá la app ya está construido.</w:t>
      </w:r>
    </w:p>
    <w:p>
      <w:pPr>
        <w:pStyle w:val="Heading1"/>
      </w:pPr>
      <w:r>
        <w:t>4. Retroalimentación de los stakeholders</w:t>
      </w:r>
    </w:p>
    <w:p>
      <w:pPr>
        <w:spacing w:after="120"/>
      </w:pPr>
      <w:r>
        <w:rPr>
          <w:b w:val="0"/>
          <w:i w:val="0"/>
          <w:sz w:val="22"/>
        </w:rPr>
        <w:t>Rodrigo Quezada (Jefe de Mantenimiento) y Marcela Aravena (Administradora) revisaron el incremento y plantearon lo siguiente:</w:t>
      </w:r>
    </w:p>
    <w:p>
      <w:pPr>
        <w:pStyle w:val="ListBullet"/>
        <w:spacing w:after="60"/>
      </w:pPr>
      <w:r>
        <w:rPr>
          <w:sz w:val="21"/>
        </w:rPr>
        <w:t>Los QR de las posiciones impresos y leídos resuelven bien; piden que bodegas y repuestos se identifiquen igual.</w:t>
      </w:r>
    </w:p>
    <w:p>
      <w:pPr>
        <w:pStyle w:val="ListBullet"/>
        <w:spacing w:after="60"/>
      </w:pPr>
      <w:r>
        <w:rPr>
          <w:sz w:val="21"/>
        </w:rPr>
        <w:t>La administradora valora ver la vigencia y el pago de la suscripción; pide que el aviso de vencimiento aparezca antes del bloqueo.</w:t>
      </w:r>
    </w:p>
    <w:p>
      <w:pPr>
        <w:pStyle w:val="ListBullet"/>
        <w:spacing w:after="60"/>
      </w:pPr>
      <w:r>
        <w:rPr>
          <w:sz w:val="21"/>
        </w:rPr>
        <w:t>El Jefe de Mantenimiento quiere que la serie histórica de las variables le avise cuando algo se sale de lo normal, sin tener que mirar el gráfico.</w:t>
      </w:r>
    </w:p>
    <w:p>
      <w:pPr>
        <w:spacing w:after="120"/>
      </w:pPr>
      <w:r>
        <w:rPr>
          <w:b w:val="0"/>
          <w:i/>
          <w:sz w:val="21"/>
        </w:rPr>
        <w:t>La Product Owner recoge los tres puntos; ninguno cambia el contenido del Product Backlog, y el primero confirma el orden del Sprint 3.</w:t>
      </w:r>
    </w:p>
    <w:p>
      <w:pPr>
        <w:pStyle w:val="Heading1"/>
      </w:pPr>
      <w:r>
        <w:t>5. Decisiones: adaptación del Product Backlog</w:t>
      </w:r>
    </w:p>
    <w:p>
      <w:pPr>
        <w:pStyle w:val="ListBullet"/>
        <w:spacing w:after="60"/>
      </w:pPr>
      <w:r>
        <w:rPr>
          <w:b/>
          <w:sz w:val="21"/>
        </w:rPr>
        <w:t>Decisión 1</w:t>
      </w:r>
      <w:r>
        <w:rPr>
          <w:sz w:val="21"/>
        </w:rPr>
        <w:t xml:space="preserve"> — Se aceptan las 18 historias web del Sprint 2; las 4 de la app quedan en el Sprint 6, como se decidió en la Sprint Review 1.</w:t>
      </w:r>
    </w:p>
    <w:p>
      <w:pPr>
        <w:pStyle w:val="ListBullet"/>
        <w:spacing w:after="60"/>
      </w:pPr>
      <w:r>
        <w:rPr>
          <w:b/>
          <w:sz w:val="21"/>
        </w:rPr>
        <w:t>Decisión 2</w:t>
      </w:r>
      <w:r>
        <w:rPr>
          <w:sz w:val="21"/>
        </w:rPr>
        <w:t xml:space="preserve"> — El Sprint 3 «Recursos y recurrencia» se mantiene: inventario primero, y las etiquetas QR de bodegas y repuestos usan el mismo mecanismo que el QR de las posiciones.</w:t>
      </w:r>
    </w:p>
    <w:p>
      <w:pPr>
        <w:pStyle w:val="ListBullet"/>
        <w:spacing w:after="60"/>
      </w:pPr>
      <w:r>
        <w:rPr>
          <w:b/>
          <w:sz w:val="21"/>
        </w:rPr>
        <w:t>Decisión 3</w:t>
      </w:r>
      <w:r>
        <w:rPr>
          <w:sz w:val="21"/>
        </w:rPr>
        <w:t xml:space="preserve"> — Toda regla de negocio que la pantalla exige se valida también en el servidor; dos defectos del Sprint lo mostraron (serie duplicada y motivo vacío por la API).</w:t>
      </w:r>
    </w:p>
    <w:p>
      <w:pPr>
        <w:pStyle w:val="Heading1"/>
      </w:pPr>
      <w:r>
        <w:t>6. Riesgos e impedimentos</w:t>
      </w:r>
    </w:p>
    <w:p>
      <w:pPr>
        <w:pStyle w:val="ListBullet"/>
        <w:spacing w:after="60"/>
      </w:pPr>
      <w:r>
        <w:rPr>
          <w:sz w:val="21"/>
        </w:rPr>
        <w:t>SMTP, almacenamiento de archivos y clave de Google Maps (impedimentos n.º 1, 2 y 4): siguen «en gestión» con fecha Sprint 6, según la Decisión 5 de la Review 1.</w:t>
      </w:r>
    </w:p>
    <w:p>
      <w:pPr>
        <w:pStyle w:val="ListBullet"/>
        <w:spacing w:after="60"/>
      </w:pPr>
      <w:r>
        <w:rPr>
          <w:sz w:val="21"/>
        </w:rPr>
        <w:t>Carga del Sprint 6: sigue siendo el riesgo principal del proyecto (acuerdo A4 de la Retro 1, pendiente).</w:t>
      </w:r>
    </w:p>
    <w:p>
      <w:pPr>
        <w:pStyle w:val="ListBullet"/>
        <w:spacing w:after="60"/>
      </w:pPr>
      <w:r>
        <w:rPr>
          <w:b/>
          <w:sz w:val="21"/>
        </w:rPr>
        <w:t>Carga desbalanceada</w:t>
      </w:r>
      <w:r>
        <w:rPr>
          <w:sz w:val="21"/>
        </w:rPr>
        <w:t>: Emilio terminó 96 tareas, en su mayoría pantallas web; se revisa en la retrospectiva y en el Sprint Planning 3.</w:t>
      </w:r>
    </w:p>
    <w:p>
      <w:pPr>
        <w:pStyle w:val="Heading1"/>
      </w:pPr>
      <w:r>
        <w:t>7. Próximos pasos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5386"/>
            <w:shd w:val="clear" w:color="auto" w:fill="E8E5F7"/>
          </w:tcPr>
          <w:p>
            <w:r/>
            <w:r>
              <w:rPr>
                <w:b/>
                <w:sz w:val="19"/>
              </w:rPr>
              <w:t>Acción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1701"/>
            <w:shd w:val="clear" w:color="auto" w:fill="E8E5F7"/>
          </w:tcPr>
          <w:p>
            <w:r/>
            <w:r>
              <w:rPr>
                <w:b/>
                <w:sz w:val="19"/>
              </w:rPr>
              <w:t>Fecha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Sprint Planning 3 con el objetivo «Recursos y recurrencia».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Equipo Scrum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30-09-2026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Mostrar en el encabezado los días que faltan para el vencimiento de la suscripción.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Sprint 3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9"/>
              </w:rPr>
              <w:t>Revisar que cada regla que exige una pantalla del Sprint 2 esté también en su SP.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Sprint 3</w:t>
            </w:r>
          </w:p>
        </w:tc>
      </w:tr>
    </w:tbl>
    <w:p>
      <w:pPr>
        <w:spacing w:after="40"/>
      </w:pPr>
    </w:p>
    <w:p>
      <w:pPr>
        <w:pStyle w:val="Heading1"/>
      </w:pPr>
      <w:r>
        <w:t>8. Conformidad</w:t>
      </w:r>
    </w:p>
    <w:p>
      <w:pPr>
        <w:spacing w:after="120"/>
      </w:pPr>
      <w:r>
        <w:rPr>
          <w:b w:val="0"/>
          <w:i w:val="0"/>
          <w:sz w:val="21"/>
        </w:rPr>
        <w:t>La Product Owner acepta el incremento del Sprint 2: 18 historias terminadas y validadas. Las 4 historias de la app quedan para el Sprint 6.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8E5F7"/>
          </w:tcPr>
          <w:p>
            <w:r/>
            <w:r>
              <w:rPr>
                <w:b/>
                <w:sz w:val="19"/>
              </w:rPr>
              <w:t>Nombre</w:t>
            </w:r>
          </w:p>
        </w:tc>
        <w:tc>
          <w:tcPr>
            <w:tcW w:type="dxa" w:w="4535"/>
            <w:shd w:val="clear" w:color="auto" w:fill="E8E5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1984"/>
            <w:shd w:val="clear" w:color="auto" w:fill="E8E5F7"/>
          </w:tcPr>
          <w:p>
            <w:r/>
            <w:r>
              <w:rPr>
                <w:b/>
                <w:sz w:val="19"/>
              </w:rPr>
              <w:t>Firma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Catalina Pescio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Emilio Fuentes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Bryan Chávez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Rodrigo Quezada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Jefe de Mantenimiento · Planta Renca (stakeholder)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Marcela Aravena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Administradora del sistema en el cliente (stakeholder)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