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2"/>
        </w:rPr>
        <w:t>MANUAL TÉCNICO Y DE DESPLIEGUE</w:t>
      </w:r>
    </w:p>
    <w:p>
      <w:pPr>
        <w:spacing w:after="40"/>
      </w:pPr>
      <w:r>
        <w:rPr>
          <w:b w:val="0"/>
          <w:i w:val="0"/>
          <w:sz w:val="26"/>
        </w:rPr>
        <w:t>SIGMA · Sistema Integrado de Gestión de Mantenimiento Industrial</w:t>
      </w:r>
    </w:p>
    <w:p>
      <w:pPr>
        <w:spacing w:after="240"/>
      </w:pPr>
      <w:r>
        <w:rPr>
          <w:b w:val="0"/>
          <w:i w:val="0"/>
          <w:color w:val="555555"/>
          <w:sz w:val="22"/>
        </w:rPr>
        <w:t>Cómo levantar, compilar, configurar, probar y desplegar SIGMA · Fase 2</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551"/>
            <w:shd w:val="clear" w:color="auto" w:fill="F3F1FB"/>
          </w:tcPr>
          <w:p>
            <w:r/>
            <w:r>
              <w:rPr>
                <w:b/>
                <w:sz w:val="20"/>
              </w:rPr>
              <w:t>Para quién</w:t>
            </w:r>
          </w:p>
        </w:tc>
        <w:tc>
          <w:tcPr>
            <w:tcW w:type="dxa" w:w="6803"/>
          </w:tcPr>
          <w:p>
            <w:r/>
            <w:r>
              <w:rPr>
                <w:sz w:val="20"/>
              </w:rPr>
              <w:t>Quien llega al proyecto y necesita dejarlo corriendo, y quien tiene que desplegar una versión nueva</w:t>
            </w:r>
          </w:p>
        </w:tc>
      </w:tr>
      <w:tr>
        <w:tc>
          <w:tcPr>
            <w:tcW w:type="dxa" w:w="2551"/>
            <w:shd w:val="clear" w:color="auto" w:fill="F3F1FB"/>
          </w:tcPr>
          <w:p>
            <w:r/>
            <w:r>
              <w:rPr>
                <w:b/>
                <w:sz w:val="20"/>
              </w:rPr>
              <w:t>Qué no es</w:t>
            </w:r>
          </w:p>
        </w:tc>
        <w:tc>
          <w:tcPr>
            <w:tcW w:type="dxa" w:w="6803"/>
          </w:tcPr>
          <w:p>
            <w:r/>
            <w:r>
              <w:rPr>
                <w:sz w:val="20"/>
              </w:rPr>
              <w:t>No explica la arquitectura ni el modelo de datos: eso está en el Documento de Diseño. Acá están los comandos y las rutas</w:t>
            </w:r>
          </w:p>
        </w:tc>
      </w:tr>
      <w:tr>
        <w:tc>
          <w:tcPr>
            <w:tcW w:type="dxa" w:w="2551"/>
            <w:shd w:val="clear" w:color="auto" w:fill="F3F1FB"/>
          </w:tcPr>
          <w:p>
            <w:r/>
            <w:r>
              <w:rPr>
                <w:b/>
                <w:sz w:val="20"/>
              </w:rPr>
              <w:t>Producto</w:t>
            </w:r>
          </w:p>
        </w:tc>
        <w:tc>
          <w:tcPr>
            <w:tcW w:type="dxa" w:w="6803"/>
          </w:tcPr>
          <w:p>
            <w:r/>
            <w:r>
              <w:rPr>
                <w:sz w:val="20"/>
              </w:rPr>
              <w:t>SIGMA · Intranet (ASP.NET WebForms 4.8) + API (ASP.NET Web API 2) + app móvil (Flutter) + SQL Server</w:t>
            </w:r>
          </w:p>
        </w:tc>
      </w:tr>
      <w:tr>
        <w:tc>
          <w:tcPr>
            <w:tcW w:type="dxa" w:w="2551"/>
            <w:shd w:val="clear" w:color="auto" w:fill="F3F1FB"/>
          </w:tcPr>
          <w:p>
            <w:r/>
            <w:r>
              <w:rPr>
                <w:b/>
                <w:sz w:val="20"/>
              </w:rPr>
              <w:t>Producción</w:t>
            </w:r>
          </w:p>
        </w:tc>
        <w:tc>
          <w:tcPr>
            <w:tcW w:type="dxa" w:w="6803"/>
          </w:tcPr>
          <w:p>
            <w:r/>
            <w:r>
              <w:rPr>
                <w:sz w:val="20"/>
              </w:rPr>
              <w:t>SmarterASP.NET, plan .NET Premium. La Intranet y la API son dos sitios con su propio app pool sobre el mismo IIS, y comparten el SQL Server del plan</w:t>
            </w:r>
          </w:p>
        </w:tc>
      </w:tr>
      <w:tr>
        <w:tc>
          <w:tcPr>
            <w:tcW w:type="dxa" w:w="2551"/>
            <w:shd w:val="clear" w:color="auto" w:fill="F3F1FB"/>
          </w:tcPr>
          <w:p>
            <w:r/>
            <w:r>
              <w:rPr>
                <w:b/>
                <w:sz w:val="20"/>
              </w:rPr>
              <w:t>Responsable</w:t>
            </w:r>
          </w:p>
        </w:tc>
        <w:tc>
          <w:tcPr>
            <w:tcW w:type="dxa" w:w="6803"/>
          </w:tcPr>
          <w:p>
            <w:r/>
            <w:r>
              <w:rPr>
                <w:sz w:val="20"/>
              </w:rPr>
              <w:t>Bryan Chávez (Developer)</w:t>
            </w:r>
          </w:p>
        </w:tc>
      </w:tr>
      <w:tr>
        <w:tc>
          <w:tcPr>
            <w:tcW w:type="dxa" w:w="2551"/>
            <w:shd w:val="clear" w:color="auto" w:fill="F3F1FB"/>
          </w:tcPr>
          <w:p>
            <w:r/>
            <w:r>
              <w:rPr>
                <w:b/>
                <w:sz w:val="20"/>
              </w:rPr>
              <w:t>Versión</w:t>
            </w:r>
          </w:p>
        </w:tc>
        <w:tc>
          <w:tcPr>
            <w:tcW w:type="dxa" w:w="6803"/>
          </w:tcPr>
          <w:p>
            <w:r/>
            <w:r>
              <w:rPr>
                <w:sz w:val="20"/>
              </w:rPr>
              <w:t>1.0 · 01-10-2026</w:t>
            </w:r>
          </w:p>
        </w:tc>
      </w:tr>
    </w:tbl>
    <w:p>
      <w:pPr>
        <w:spacing w:after="40"/>
      </w:pPr>
    </w:p>
    <w:p>
      <w:pPr>
        <w:pStyle w:val="Heading1"/>
      </w:pPr>
      <w:r>
        <w:t>1. Requisitos previos</w:t>
      </w:r>
    </w:p>
    <w:p>
      <w:pPr>
        <w:spacing w:after="120"/>
      </w:pPr>
      <w:r>
        <w:rPr>
          <w:b w:val="0"/>
          <w:i w:val="0"/>
          <w:sz w:val="22"/>
        </w:rPr>
        <w:t>Las versiones son las que efectivamente se usan; no son mínimos teóricos.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551"/>
            <w:shd w:val="clear" w:color="auto" w:fill="E8E5F7"/>
          </w:tcPr>
          <w:p>
            <w:r/>
            <w:r>
              <w:rPr>
                <w:b/>
                <w:sz w:val="19"/>
              </w:rPr>
              <w:t>Herramienta</w:t>
            </w:r>
          </w:p>
        </w:tc>
        <w:tc>
          <w:tcPr>
            <w:tcW w:type="dxa" w:w="1984"/>
            <w:shd w:val="clear" w:color="auto" w:fill="E8E5F7"/>
          </w:tcPr>
          <w:p>
            <w:r/>
            <w:r>
              <w:rPr>
                <w:b/>
                <w:sz w:val="19"/>
              </w:rPr>
              <w:t>Versión</w:t>
            </w:r>
          </w:p>
        </w:tc>
        <w:tc>
          <w:tcPr>
            <w:tcW w:type="dxa" w:w="5102"/>
            <w:shd w:val="clear" w:color="auto" w:fill="E8E5F7"/>
          </w:tcPr>
          <w:p>
            <w:r/>
            <w:r>
              <w:rPr>
                <w:b/>
                <w:sz w:val="19"/>
              </w:rPr>
              <w:t>Para qué</w:t>
            </w:r>
          </w:p>
        </w:tc>
      </w:tr>
      <w:tr>
        <w:tc>
          <w:tcPr>
            <w:tcW w:type="dxa" w:w="2551"/>
          </w:tcPr>
          <w:p>
            <w:r/>
            <w:r>
              <w:rPr>
                <w:sz w:val="19"/>
              </w:rPr>
              <w:t>Windows</w:t>
            </w:r>
          </w:p>
        </w:tc>
        <w:tc>
          <w:tcPr>
            <w:tcW w:type="dxa" w:w="1984"/>
          </w:tcPr>
          <w:p>
            <w:r/>
            <w:r>
              <w:rPr>
                <w:sz w:val="19"/>
              </w:rPr>
              <w:t>10 u 11, o Windows Server</w:t>
            </w:r>
          </w:p>
        </w:tc>
        <w:tc>
          <w:tcPr>
            <w:tcW w:type="dxa" w:w="5102"/>
          </w:tcPr>
          <w:p>
            <w:r/>
            <w:r>
              <w:rPr>
                <w:sz w:val="19"/>
              </w:rPr>
              <w:t>La plataforma es .NET Framework sobre IIS: no hay alternativa en Linux</w:t>
            </w:r>
          </w:p>
        </w:tc>
      </w:tr>
      <w:tr>
        <w:tc>
          <w:tcPr>
            <w:tcW w:type="dxa" w:w="2551"/>
          </w:tcPr>
          <w:p>
            <w:r/>
            <w:r>
              <w:rPr>
                <w:sz w:val="19"/>
              </w:rPr>
              <w:t>IIS con ASP.NET 4.8</w:t>
            </w:r>
          </w:p>
        </w:tc>
        <w:tc>
          <w:tcPr>
            <w:tcW w:type="dxa" w:w="1984"/>
          </w:tcPr>
          <w:p>
            <w:r/>
            <w:r>
              <w:rPr>
                <w:sz w:val="19"/>
              </w:rPr>
              <w:t>4.8</w:t>
            </w:r>
          </w:p>
        </w:tc>
        <w:tc>
          <w:tcPr>
            <w:tcW w:type="dxa" w:w="5102"/>
          </w:tcPr>
          <w:p>
            <w:r/>
            <w:r>
              <w:rPr>
                <w:sz w:val="19"/>
              </w:rPr>
              <w:t>Servir la Intranet y la API en local. Se habilita desde «Características de Windows»</w:t>
            </w:r>
          </w:p>
        </w:tc>
      </w:tr>
      <w:tr>
        <w:tc>
          <w:tcPr>
            <w:tcW w:type="dxa" w:w="2551"/>
          </w:tcPr>
          <w:p>
            <w:r/>
            <w:r>
              <w:rPr>
                <w:sz w:val="19"/>
              </w:rPr>
              <w:t>Visual Studio 2022</w:t>
            </w:r>
          </w:p>
        </w:tc>
        <w:tc>
          <w:tcPr>
            <w:tcW w:type="dxa" w:w="1984"/>
          </w:tcPr>
          <w:p>
            <w:r/>
            <w:r>
              <w:rPr>
                <w:sz w:val="19"/>
              </w:rPr>
              <w:t>Professional (o Build Tools)</w:t>
            </w:r>
          </w:p>
        </w:tc>
        <w:tc>
          <w:tcPr>
            <w:tcW w:type="dxa" w:w="5102"/>
          </w:tcPr>
          <w:p>
            <w:r/>
            <w:r>
              <w:rPr>
                <w:sz w:val="19"/>
              </w:rPr>
              <w:t>Compilar. El MSBuild del Framework (v4.0) NO sirve: la tarea de licencias de Telerik necesita MSBuild 15 o superior</w:t>
            </w:r>
          </w:p>
        </w:tc>
      </w:tr>
      <w:tr>
        <w:tc>
          <w:tcPr>
            <w:tcW w:type="dxa" w:w="2551"/>
          </w:tcPr>
          <w:p>
            <w:r/>
            <w:r>
              <w:rPr>
                <w:sz w:val="19"/>
              </w:rPr>
              <w:t>.NET SDK</w:t>
            </w:r>
          </w:p>
        </w:tc>
        <w:tc>
          <w:tcPr>
            <w:tcW w:type="dxa" w:w="1984"/>
          </w:tcPr>
          <w:p>
            <w:r/>
            <w:r>
              <w:rPr>
                <w:sz w:val="19"/>
              </w:rPr>
              <w:t>10.x</w:t>
            </w:r>
          </w:p>
        </w:tc>
        <w:tc>
          <w:tcPr>
            <w:tcW w:type="dxa" w:w="5102"/>
          </w:tcPr>
          <w:p>
            <w:r/>
            <w:r>
              <w:rPr>
                <w:sz w:val="19"/>
              </w:rPr>
              <w:t>Ejecutar las pruebas unitarias de la API con «dotnet test»</w:t>
            </w:r>
          </w:p>
        </w:tc>
      </w:tr>
      <w:tr>
        <w:tc>
          <w:tcPr>
            <w:tcW w:type="dxa" w:w="2551"/>
          </w:tcPr>
          <w:p>
            <w:r/>
            <w:r>
              <w:rPr>
                <w:sz w:val="19"/>
              </w:rPr>
              <w:t>SQL Server Command Line Tools</w:t>
            </w:r>
          </w:p>
        </w:tc>
        <w:tc>
          <w:tcPr>
            <w:tcW w:type="dxa" w:w="1984"/>
          </w:tcPr>
          <w:p>
            <w:r/>
            <w:r>
              <w:rPr>
                <w:sz w:val="19"/>
              </w:rPr>
              <w:t>ODBC 17</w:t>
            </w:r>
          </w:p>
        </w:tc>
        <w:tc>
          <w:tcPr>
            <w:tcW w:type="dxa" w:w="5102"/>
          </w:tcPr>
          <w:p>
            <w:r/>
            <w:r>
              <w:rPr>
                <w:sz w:val="19"/>
              </w:rPr>
              <w:t>Aplicar los scripts de base con sqlcmd</w:t>
            </w:r>
          </w:p>
        </w:tc>
      </w:tr>
      <w:tr>
        <w:tc>
          <w:tcPr>
            <w:tcW w:type="dxa" w:w="2551"/>
          </w:tcPr>
          <w:p>
            <w:r/>
            <w:r>
              <w:rPr>
                <w:sz w:val="19"/>
              </w:rPr>
              <w:t>Python</w:t>
            </w:r>
          </w:p>
        </w:tc>
        <w:tc>
          <w:tcPr>
            <w:tcW w:type="dxa" w:w="1984"/>
          </w:tcPr>
          <w:p>
            <w:r/>
            <w:r>
              <w:rPr>
                <w:sz w:val="19"/>
              </w:rPr>
              <w:t>3.11 o superior</w:t>
            </w:r>
          </w:p>
        </w:tc>
        <w:tc>
          <w:tcPr>
            <w:tcW w:type="dxa" w:w="5102"/>
          </w:tcPr>
          <w:p>
            <w:r/>
            <w:r>
              <w:rPr>
                <w:sz w:val="19"/>
              </w:rPr>
              <w:t>Scripts de apoyo: aplicar SQL, auditar BOM, ejecutar la evidencia de pruebas</w:t>
            </w:r>
          </w:p>
        </w:tc>
      </w:tr>
      <w:tr>
        <w:tc>
          <w:tcPr>
            <w:tcW w:type="dxa" w:w="2551"/>
          </w:tcPr>
          <w:p>
            <w:r/>
            <w:r>
              <w:rPr>
                <w:sz w:val="19"/>
              </w:rPr>
              <w:t>Flutter SDK</w:t>
            </w:r>
          </w:p>
        </w:tc>
        <w:tc>
          <w:tcPr>
            <w:tcW w:type="dxa" w:w="1984"/>
          </w:tcPr>
          <w:p>
            <w:r/>
            <w:r>
              <w:rPr>
                <w:sz w:val="19"/>
              </w:rPr>
              <w:t>3.11 o superior</w:t>
            </w:r>
          </w:p>
        </w:tc>
        <w:tc>
          <w:tcPr>
            <w:tcW w:type="dxa" w:w="5102"/>
          </w:tcPr>
          <w:p>
            <w:r/>
            <w:r>
              <w:rPr>
                <w:sz w:val="19"/>
              </w:rPr>
              <w:t>Compilar y probar la app móvil</w:t>
            </w:r>
          </w:p>
        </w:tc>
      </w:tr>
      <w:tr>
        <w:tc>
          <w:tcPr>
            <w:tcW w:type="dxa" w:w="2551"/>
          </w:tcPr>
          <w:p>
            <w:r/>
            <w:r>
              <w:rPr>
                <w:sz w:val="19"/>
              </w:rPr>
              <w:t>Docker Desktop</w:t>
            </w:r>
          </w:p>
        </w:tc>
        <w:tc>
          <w:tcPr>
            <w:tcW w:type="dxa" w:w="1984"/>
          </w:tcPr>
          <w:p>
            <w:r/>
            <w:r>
              <w:rPr>
                <w:sz w:val="19"/>
              </w:rPr>
              <w:t>en modo contenedores Windows</w:t>
            </w:r>
          </w:p>
        </w:tc>
        <w:tc>
          <w:tcPr>
            <w:tcW w:type="dxa" w:w="5102"/>
          </w:tcPr>
          <w:p>
            <w:r/>
            <w:r>
              <w:rPr>
                <w:sz w:val="19"/>
              </w:rPr>
              <w:t>Solo si se va a usar la contenedorización</w:t>
            </w:r>
          </w:p>
        </w:tc>
      </w:tr>
    </w:tbl>
    <w:p>
      <w:pPr>
        <w:spacing w:after="40"/>
      </w:pPr>
    </w:p>
    <w:p>
      <w:pPr>
        <w:pStyle w:val="Heading1"/>
      </w:pPr>
      <w:r>
        <w:t>2. Estructura del repositorio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551"/>
            <w:shd w:val="clear" w:color="auto" w:fill="E8E5F7"/>
          </w:tcPr>
          <w:p>
            <w:r/>
            <w:r>
              <w:rPr>
                <w:b/>
                <w:sz w:val="19"/>
              </w:rPr>
              <w:t>Carpeta</w:t>
            </w:r>
          </w:p>
        </w:tc>
        <w:tc>
          <w:tcPr>
            <w:tcW w:type="dxa" w:w="7087"/>
            <w:shd w:val="clear" w:color="auto" w:fill="E8E5F7"/>
          </w:tcPr>
          <w:p>
            <w:r/>
            <w:r>
              <w:rPr>
                <w:b/>
                <w:sz w:val="19"/>
              </w:rPr>
              <w:t>Qué contiene</w:t>
            </w:r>
          </w:p>
        </w:tc>
      </w:tr>
      <w:tr>
        <w:tc>
          <w:tcPr>
            <w:tcW w:type="dxa" w:w="2551"/>
          </w:tcPr>
          <w:p>
            <w:r/>
            <w:r>
              <w:rPr>
                <w:sz w:val="19"/>
              </w:rPr>
              <w:t>Web/Intranet</w:t>
            </w:r>
          </w:p>
        </w:tc>
        <w:tc>
          <w:tcPr>
            <w:tcW w:type="dxa" w:w="7087"/>
          </w:tcPr>
          <w:p>
            <w:r/>
            <w:r>
              <w:rPr>
                <w:sz w:val="19"/>
              </w:rPr>
              <w:t>La intranet. Proyecto Web Site: App_Code se compila en tiempo de ejecución, no hay .csproj</w:t>
            </w:r>
          </w:p>
        </w:tc>
      </w:tr>
      <w:tr>
        <w:tc>
          <w:tcPr>
            <w:tcW w:type="dxa" w:w="2551"/>
          </w:tcPr>
          <w:p>
            <w:r/>
            <w:r>
              <w:rPr>
                <w:sz w:val="19"/>
              </w:rPr>
              <w:t>Solucion/SIGMA</w:t>
            </w:r>
          </w:p>
        </w:tc>
        <w:tc>
          <w:tcPr>
            <w:tcW w:type="dxa" w:w="7087"/>
          </w:tcPr>
          <w:p>
            <w:r/>
            <w:r>
              <w:rPr>
                <w:sz w:val="19"/>
              </w:rPr>
              <w:t>La solución: el proyecto API, el proyecto de pruebas API.Pruebas y la referencia a la librería</w:t>
            </w:r>
          </w:p>
        </w:tc>
      </w:tr>
      <w:tr>
        <w:tc>
          <w:tcPr>
            <w:tcW w:type="dxa" w:w="2551"/>
          </w:tcPr>
          <w:p>
            <w:r/>
            <w:r>
              <w:rPr>
                <w:sz w:val="19"/>
              </w:rPr>
              <w:t>Librerias/Library</w:t>
            </w:r>
          </w:p>
        </w:tc>
        <w:tc>
          <w:tcPr>
            <w:tcW w:type="dxa" w:w="7087"/>
          </w:tcPr>
          <w:p>
            <w:r/>
            <w:r>
              <w:rPr>
                <w:sz w:val="19"/>
              </w:rPr>
              <w:t>Librería compartida (controles, utilidades) y las dependencias de terceros en Lib/</w:t>
            </w:r>
          </w:p>
        </w:tc>
      </w:tr>
      <w:tr>
        <w:tc>
          <w:tcPr>
            <w:tcW w:type="dxa" w:w="2551"/>
          </w:tcPr>
          <w:p>
            <w:r/>
            <w:r>
              <w:rPr>
                <w:sz w:val="19"/>
              </w:rPr>
              <w:t>BD</w:t>
            </w:r>
          </w:p>
        </w:tc>
        <w:tc>
          <w:tcPr>
            <w:tcW w:type="dxa" w:w="7087"/>
          </w:tcPr>
          <w:p>
            <w:r/>
            <w:r>
              <w:rPr>
                <w:sz w:val="19"/>
              </w:rPr>
              <w:t>390 scripts SQL numerados. El número es el orden en que se aplicaron; los que empiezan con «_» son semillas de datos</w:t>
            </w:r>
          </w:p>
        </w:tc>
      </w:tr>
      <w:tr>
        <w:tc>
          <w:tcPr>
            <w:tcW w:type="dxa" w:w="2551"/>
          </w:tcPr>
          <w:p>
            <w:r/>
            <w:r>
              <w:rPr>
                <w:sz w:val="19"/>
              </w:rPr>
              <w:t>App/sigma_app</w:t>
            </w:r>
          </w:p>
        </w:tc>
        <w:tc>
          <w:tcPr>
            <w:tcW w:type="dxa" w:w="7087"/>
          </w:tcPr>
          <w:p>
            <w:r/>
            <w:r>
              <w:rPr>
                <w:sz w:val="19"/>
              </w:rPr>
              <w:t>La app móvil en Flutter</w:t>
            </w:r>
          </w:p>
        </w:tc>
      </w:tr>
      <w:tr>
        <w:tc>
          <w:tcPr>
            <w:tcW w:type="dxa" w:w="2551"/>
          </w:tcPr>
          <w:p>
            <w:r/>
            <w:r>
              <w:rPr>
                <w:sz w:val="19"/>
              </w:rPr>
              <w:t>ML</w:t>
            </w:r>
          </w:p>
        </w:tc>
        <w:tc>
          <w:tcPr>
            <w:tcW w:type="dxa" w:w="7087"/>
          </w:tcPr>
          <w:p>
            <w:r/>
            <w:r>
              <w:rPr>
                <w:sz w:val="19"/>
              </w:rPr>
              <w:t>El entrenador de SIGMA AI</w:t>
            </w:r>
          </w:p>
        </w:tc>
      </w:tr>
      <w:tr>
        <w:tc>
          <w:tcPr>
            <w:tcW w:type="dxa" w:w="2551"/>
          </w:tcPr>
          <w:p>
            <w:r/>
            <w:r>
              <w:rPr>
                <w:sz w:val="19"/>
              </w:rPr>
              <w:t>MD</w:t>
            </w:r>
          </w:p>
        </w:tc>
        <w:tc>
          <w:tcPr>
            <w:tcW w:type="dxa" w:w="7087"/>
          </w:tcPr>
          <w:p>
            <w:r/>
            <w:r>
              <w:rPr>
                <w:sz w:val="19"/>
              </w:rPr>
              <w:t>Estado del desarrollo, decisiones y bitácora. Es el punto de entrada del proyecto</w:t>
            </w:r>
          </w:p>
        </w:tc>
      </w:tr>
      <w:tr>
        <w:tc>
          <w:tcPr>
            <w:tcW w:type="dxa" w:w="2551"/>
          </w:tcPr>
          <w:p>
            <w:r/>
            <w:r>
              <w:rPr>
                <w:sz w:val="19"/>
              </w:rPr>
              <w:t>PATRONES</w:t>
            </w:r>
          </w:p>
        </w:tc>
        <w:tc>
          <w:tcPr>
            <w:tcW w:type="dxa" w:w="7087"/>
          </w:tcPr>
          <w:p>
            <w:r/>
            <w:r>
              <w:rPr>
                <w:sz w:val="19"/>
              </w:rPr>
              <w:t>El estándar de código: cómo se escribe una entidad nueva, convenciones, checklist</w:t>
            </w:r>
          </w:p>
        </w:tc>
      </w:tr>
      <w:tr>
        <w:tc>
          <w:tcPr>
            <w:tcW w:type="dxa" w:w="2551"/>
          </w:tcPr>
          <w:p>
            <w:r/>
            <w:r>
              <w:rPr>
                <w:sz w:val="19"/>
              </w:rPr>
              <w:t>Fase 2</w:t>
            </w:r>
          </w:p>
        </w:tc>
        <w:tc>
          <w:tcPr>
            <w:tcW w:type="dxa" w:w="7087"/>
          </w:tcPr>
          <w:p>
            <w:r/>
            <w:r>
              <w:rPr>
                <w:sz w:val="19"/>
              </w:rPr>
              <w:t>Documentación del proyecto: backlogs, ceremonias, pruebas, diseño</w:t>
            </w:r>
          </w:p>
        </w:tc>
      </w:tr>
      <w:tr>
        <w:tc>
          <w:tcPr>
            <w:tcW w:type="dxa" w:w="2551"/>
          </w:tcPr>
          <w:p>
            <w:r/>
            <w:r>
              <w:rPr>
                <w:sz w:val="19"/>
              </w:rPr>
              <w:t>INFRAESTRUCTURA/docker</w:t>
            </w:r>
          </w:p>
        </w:tc>
        <w:tc>
          <w:tcPr>
            <w:tcW w:type="dxa" w:w="7087"/>
          </w:tcPr>
          <w:p>
            <w:r/>
            <w:r>
              <w:rPr>
                <w:sz w:val="19"/>
              </w:rPr>
              <w:t>Dockerfiles, entrypoints y guía de contenedores</w:t>
            </w:r>
          </w:p>
        </w:tc>
      </w:tr>
    </w:tbl>
    <w:p>
      <w:pPr>
        <w:spacing w:after="40"/>
      </w:pPr>
    </w:p>
    <w:p>
      <w:pPr>
        <w:spacing w:after="120"/>
      </w:pPr>
      <w:r>
        <w:rPr>
          <w:b w:val="0"/>
          <w:i w:val="0"/>
          <w:sz w:val="22"/>
        </w:rPr>
        <w:t>Lo primero que hay que leer antes de escribir código es «MD/SIGMA_ESTADO_DESARROLLO.md» y el estándar de «PATRONES». En ese orden.</w:t>
      </w:r>
    </w:p>
    <w:p>
      <w:pPr>
        <w:pStyle w:val="Heading1"/>
      </w:pPr>
      <w:r>
        <w:t>3. Levantar el entorno de desarrollo</w:t>
      </w:r>
    </w:p>
    <w:p>
      <w:pPr>
        <w:pStyle w:val="Heading2"/>
      </w:pPr>
      <w:r>
        <w:t>3.1 Compilar</w:t>
      </w:r>
    </w:p>
    <w:p>
      <w:pPr>
        <w:spacing w:after="120"/>
      </w:pPr>
      <w:r>
        <w:rPr>
          <w:b w:val="0"/>
          <w:i w:val="0"/>
          <w:sz w:val="22"/>
        </w:rPr>
        <w:t>La librería compartida se compila primero, porque su salida es el Bin de la Intranet:</w:t>
      </w:r>
    </w:p>
    <w:p>
      <w:pPr>
        <w:spacing w:after="160"/>
        <w:ind w:left="283"/>
      </w:pPr>
      <w:r>
        <w:rPr>
          <w:rFonts w:ascii="Consolas" w:hAnsi="Consolas"/>
          <w:sz w:val="18"/>
        </w:rPr>
        <w:t>"C:\Program Files\Microsoft Visual Studio\2022\Professional\MSBuild\Current\Bin\MSBuild.exe" ^</w:t>
        <w:br/>
        <w:t xml:space="preserve">    Librerias\Library\Library.csproj /t:Build /p:Configuration=Release</w:t>
      </w:r>
    </w:p>
    <w:p>
      <w:pPr>
        <w:spacing w:after="120"/>
      </w:pPr>
      <w:r>
        <w:rPr>
          <w:b w:val="0"/>
          <w:i w:val="0"/>
          <w:sz w:val="22"/>
        </w:rPr>
        <w:t>El resultado queda en «Librerias/Library/bin/Release» y es, archivo por archivo, lo que va en «Web/Intranet/Bin»: Library.dll más las 42 dependencias de terceros.</w:t>
      </w:r>
    </w:p>
    <w:p>
      <w:pPr>
        <w:spacing w:after="120"/>
      </w:pPr>
      <w:r>
        <w:rPr>
          <w:b w:val="0"/>
          <w:i w:val="0"/>
          <w:sz w:val="22"/>
        </w:rPr>
        <w:t>Importante: usar el MSBuild de Visual Studio 2022. El del Framework (C:\Windows\Microsoft.NET\Framework64\v4.0.30319) falla con «no se pudo cargar la tarea Telerik.Licensing.Tasks.ResolveTelerikProducts», porque esa tarea necesita MSBuild 15 o superior.</w:t>
      </w:r>
    </w:p>
    <w:p>
      <w:pPr>
        <w:spacing w:after="120"/>
      </w:pPr>
      <w:r>
        <w:rPr>
          <w:b w:val="0"/>
          <w:i w:val="0"/>
          <w:sz w:val="22"/>
        </w:rPr>
        <w:t>La API y el proyecto de pruebas se compilan con la solución:</w:t>
      </w:r>
    </w:p>
    <w:p>
      <w:pPr>
        <w:spacing w:after="160"/>
        <w:ind w:left="283"/>
      </w:pPr>
      <w:r>
        <w:rPr>
          <w:rFonts w:ascii="Consolas" w:hAnsi="Consolas"/>
          <w:sz w:val="18"/>
        </w:rPr>
        <w:t>MSBuild.exe Solucion\SIGMA\SIGMA.sln /t:Build /p:Configuration=Release</w:t>
      </w:r>
    </w:p>
    <w:p>
      <w:pPr>
        <w:pStyle w:val="Heading2"/>
      </w:pPr>
      <w:r>
        <w:t>3.2 Verificar que las páginas compilan</w:t>
      </w:r>
    </w:p>
    <w:p>
      <w:pPr>
        <w:spacing w:after="120"/>
      </w:pPr>
      <w:r>
        <w:rPr>
          <w:b w:val="0"/>
          <w:i w:val="0"/>
          <w:sz w:val="22"/>
        </w:rPr>
        <w:t>La Intranet es un proyecto Web Site: los .aspx y App_Code se compilan al servirse, así que un error de sintaxis no aparece al construir sino cuando alguien abre la página. Después de tocar C# hay que verificarlo explícitamente:</w:t>
      </w:r>
    </w:p>
    <w:p>
      <w:pPr>
        <w:spacing w:after="160"/>
        <w:ind w:left="283"/>
      </w:pPr>
      <w:r>
        <w:rPr>
          <w:rFonts w:ascii="Consolas" w:hAnsi="Consolas"/>
          <w:sz w:val="18"/>
        </w:rPr>
        <w:t>C:\Windows\Microsoft.NET\Framework64\v4.0.30319\aspnet_compiler.exe -v / -p Web\Intranet -c</w:t>
      </w:r>
    </w:p>
    <w:p>
      <w:pPr>
        <w:spacing w:after="120"/>
      </w:pPr>
      <w:r>
        <w:rPr>
          <w:b w:val="0"/>
          <w:i w:val="0"/>
          <w:sz w:val="22"/>
        </w:rPr>
        <w:t>Esto es obligatorio antes de subir: es la única forma de saber que no se rompió una vista sin abrirla.</w:t>
      </w:r>
    </w:p>
    <w:p>
      <w:pPr>
        <w:pStyle w:val="Heading2"/>
      </w:pPr>
      <w:r>
        <w:t>3.3 Configurar la conexión a la base</w:t>
      </w:r>
    </w:p>
    <w:p>
      <w:pPr>
        <w:spacing w:after="120"/>
      </w:pPr>
      <w:r>
        <w:rPr>
          <w:b w:val="0"/>
          <w:i w:val="0"/>
          <w:sz w:val="22"/>
        </w:rPr>
        <w:t>La Intranet lee su cadena de «Web/Intranet/data.config», referenciado con configSource desde Web.config. La API la lleva en su propio «Solucion/SIGMA/API/Web.config». Ninguno de los dos se versiona con credenciales reales.</w:t>
      </w:r>
    </w:p>
    <w:p>
      <w:pPr>
        <w:spacing w:after="160"/>
        <w:ind w:left="283"/>
      </w:pPr>
      <w:r>
        <w:rPr>
          <w:rFonts w:ascii="Consolas" w:hAnsi="Consolas"/>
          <w:sz w:val="18"/>
        </w:rPr>
        <w:t>&lt;?xml version="1.0"?&gt;</w:t>
        <w:br/>
        <w:t>&lt;connectionStrings&gt;</w:t>
        <w:br/>
        <w:t xml:space="preserve">  &lt;add name="SIGMA" connectionString="Data Source=SERVIDOR;Initial Catalog=BASE;</w:t>
        <w:br/>
        <w:t xml:space="preserve">       User Id=USUARIO;Password=CLAVE;Encrypt=True;TrustServerCertificate=True;" /&gt;</w:t>
        <w:br/>
        <w:t>&lt;/connectionStrings&gt;</w:t>
      </w:r>
    </w:p>
    <w:p>
      <w:pPr>
        <w:spacing w:after="120"/>
      </w:pPr>
      <w:r>
        <w:rPr>
          <w:b w:val="0"/>
          <w:i w:val="0"/>
          <w:sz w:val="22"/>
        </w:rPr>
        <w:t>«Encrypt=True» no es opcional: es el requisito RNF-08, el tráfico hacia la base viaja cifrado.</w:t>
      </w:r>
    </w:p>
    <w:p>
      <w:pPr>
        <w:pStyle w:val="Heading1"/>
      </w:pPr>
      <w:r>
        <w:t>4. Cambios en la base de datos</w:t>
      </w:r>
    </w:p>
    <w:p>
      <w:pPr>
        <w:spacing w:after="120"/>
      </w:pPr>
      <w:r>
        <w:rPr>
          <w:b w:val="0"/>
          <w:i w:val="0"/>
          <w:sz w:val="22"/>
        </w:rPr>
        <w:t>Los cambios de esquema y de procedimientos son scripts numerados en «BD». El número indica el orden en que se aplicaron; nunca se edita un script ya aplicado, se agrega el siguiente.</w:t>
      </w:r>
    </w:p>
    <w:p>
      <w:pPr>
        <w:spacing w:after="120"/>
      </w:pPr>
      <w:r>
        <w:rPr>
          <w:b w:val="0"/>
          <w:i w:val="0"/>
          <w:sz w:val="22"/>
        </w:rPr>
        <w:t>Se aplican con el envoltorio de sqlcmd, que lee la clave desde el Web.config de la API para no tenerla en el comando:</w:t>
      </w:r>
    </w:p>
    <w:p>
      <w:pPr>
        <w:spacing w:after="160"/>
        <w:ind w:left="283"/>
      </w:pPr>
      <w:r>
        <w:rPr>
          <w:rFonts w:ascii="Consolas" w:hAnsi="Consolas"/>
          <w:sz w:val="18"/>
        </w:rPr>
        <w:t>python _scratch\aplicar_sql.py BD\303_MI_CAMBIO.sql</w:t>
      </w:r>
    </w:p>
    <w:p>
      <w:pPr>
        <w:spacing w:after="120"/>
      </w:pPr>
      <w:r>
        <w:rPr>
          <w:b w:val="0"/>
          <w:i w:val="0"/>
          <w:sz w:val="22"/>
        </w:rPr>
        <w:t>Si el procedimiento usa FOR XML o un índice filtrado hay que agregar «-I», porque sqlcmd necesita QUOTED_IDENTIFIER activado y no lo hace por defecto:</w:t>
      </w:r>
    </w:p>
    <w:p>
      <w:pPr>
        <w:spacing w:after="160"/>
        <w:ind w:left="283"/>
      </w:pPr>
      <w:r>
        <w:rPr>
          <w:rFonts w:ascii="Consolas" w:hAnsi="Consolas"/>
          <w:sz w:val="18"/>
        </w:rPr>
        <w:t>python _scratch\aplicar_sql.py BD\303_MI_CAMBIO.sql -I</w:t>
      </w:r>
    </w:p>
    <w:p>
      <w:pPr>
        <w:spacing w:after="120"/>
      </w:pPr>
      <w:r>
        <w:rPr>
          <w:b w:val="0"/>
          <w:i w:val="0"/>
          <w:sz w:val="22"/>
        </w:rPr>
        <w:t>Un script tiene que poder ejecutarse dos veces sin romper nada. Por eso se escriben con CREATE OR ALTER y con comprobaciones de existencia: el día del despliegue nadie se acuerda de cuáles ya corrieron.</w:t>
      </w:r>
    </w:p>
    <w:p>
      <w:pPr>
        <w:pStyle w:val="Heading1"/>
      </w:pPr>
      <w:r>
        <w:t>5. Ejecutar las pruebas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551"/>
            <w:shd w:val="clear" w:color="auto" w:fill="E8E5F7"/>
          </w:tcPr>
          <w:p>
            <w:r/>
            <w:r>
              <w:rPr>
                <w:b/>
                <w:sz w:val="19"/>
              </w:rPr>
              <w:t>Qué</w:t>
            </w:r>
          </w:p>
        </w:tc>
        <w:tc>
          <w:tcPr>
            <w:tcW w:type="dxa" w:w="3118"/>
            <w:shd w:val="clear" w:color="auto" w:fill="E8E5F7"/>
          </w:tcPr>
          <w:p>
            <w:r/>
            <w:r>
              <w:rPr>
                <w:b/>
                <w:sz w:val="19"/>
              </w:rPr>
              <w:t>Comando</w:t>
            </w:r>
          </w:p>
        </w:tc>
        <w:tc>
          <w:tcPr>
            <w:tcW w:type="dxa" w:w="3969"/>
            <w:shd w:val="clear" w:color="auto" w:fill="E8E5F7"/>
          </w:tcPr>
          <w:p>
            <w:r/>
            <w:r>
              <w:rPr>
                <w:b/>
                <w:sz w:val="19"/>
              </w:rPr>
              <w:t>Dónde</w:t>
            </w:r>
          </w:p>
        </w:tc>
      </w:tr>
      <w:tr>
        <w:tc>
          <w:tcPr>
            <w:tcW w:type="dxa" w:w="2551"/>
          </w:tcPr>
          <w:p>
            <w:r/>
            <w:r>
              <w:rPr>
                <w:sz w:val="19"/>
              </w:rPr>
              <w:t>Unitarias de la API (36)</w:t>
            </w:r>
          </w:p>
        </w:tc>
        <w:tc>
          <w:tcPr>
            <w:tcW w:type="dxa" w:w="3118"/>
          </w:tcPr>
          <w:p>
            <w:r/>
            <w:r>
              <w:rPr>
                <w:sz w:val="19"/>
              </w:rPr>
              <w:t>dotnet test</w:t>
            </w:r>
          </w:p>
        </w:tc>
        <w:tc>
          <w:tcPr>
            <w:tcW w:type="dxa" w:w="3969"/>
          </w:tcPr>
          <w:p>
            <w:r/>
            <w:r>
              <w:rPr>
                <w:sz w:val="19"/>
              </w:rPr>
              <w:t>Solucion/SIGMA/API.Pruebas</w:t>
            </w:r>
          </w:p>
        </w:tc>
      </w:tr>
      <w:tr>
        <w:tc>
          <w:tcPr>
            <w:tcW w:type="dxa" w:w="2551"/>
          </w:tcPr>
          <w:p>
            <w:r/>
            <w:r>
              <w:rPr>
                <w:sz w:val="19"/>
              </w:rPr>
              <w:t>Unitarias de la app (132)</w:t>
            </w:r>
          </w:p>
        </w:tc>
        <w:tc>
          <w:tcPr>
            <w:tcW w:type="dxa" w:w="3118"/>
          </w:tcPr>
          <w:p>
            <w:r/>
            <w:r>
              <w:rPr>
                <w:sz w:val="19"/>
              </w:rPr>
              <w:t>flutter test</w:t>
            </w:r>
          </w:p>
        </w:tc>
        <w:tc>
          <w:tcPr>
            <w:tcW w:type="dxa" w:w="3969"/>
          </w:tcPr>
          <w:p>
            <w:r/>
            <w:r>
              <w:rPr>
                <w:sz w:val="19"/>
              </w:rPr>
              <w:t>App/sigma_app</w:t>
            </w:r>
          </w:p>
        </w:tc>
      </w:tr>
      <w:tr>
        <w:tc>
          <w:tcPr>
            <w:tcW w:type="dxa" w:w="2551"/>
          </w:tcPr>
          <w:p>
            <w:r/>
            <w:r>
              <w:rPr>
                <w:sz w:val="19"/>
              </w:rPr>
              <w:t>Aceptación con evidencia</w:t>
            </w:r>
          </w:p>
        </w:tc>
        <w:tc>
          <w:tcPr>
            <w:tcW w:type="dxa" w:w="3118"/>
          </w:tcPr>
          <w:p>
            <w:r/>
            <w:r>
              <w:rPr>
                <w:sz w:val="19"/>
              </w:rPr>
              <w:t>python _scratch\ev_&lt;historia&gt;.py</w:t>
            </w:r>
          </w:p>
        </w:tc>
        <w:tc>
          <w:tcPr>
            <w:tcW w:type="dxa" w:w="3969"/>
          </w:tcPr>
          <w:p>
            <w:r/>
            <w:r>
              <w:rPr>
                <w:sz w:val="19"/>
              </w:rPr>
              <w:t>Levanta Chrome headless, recorre la Intranet y deja capturas y manifiesto</w:t>
            </w:r>
          </w:p>
        </w:tc>
      </w:tr>
      <w:tr>
        <w:tc>
          <w:tcPr>
            <w:tcW w:type="dxa" w:w="2551"/>
          </w:tcPr>
          <w:p>
            <w:r/>
            <w:r>
              <w:rPr>
                <w:sz w:val="19"/>
              </w:rPr>
              <w:t>Rendimiento</w:t>
            </w:r>
          </w:p>
        </w:tc>
        <w:tc>
          <w:tcPr>
            <w:tcW w:type="dxa" w:w="3118"/>
          </w:tcPr>
          <w:p>
            <w:r/>
            <w:r>
              <w:rPr>
                <w:sz w:val="19"/>
              </w:rPr>
              <w:t>python _scratch\ev_rendimiento.py</w:t>
            </w:r>
          </w:p>
        </w:tc>
        <w:tc>
          <w:tcPr>
            <w:tcW w:type="dxa" w:w="3969"/>
          </w:tcPr>
          <w:p>
            <w:r/>
            <w:r>
              <w:rPr>
                <w:sz w:val="19"/>
              </w:rPr>
              <w:t>Mide API, tope de página, lecturas lógicas y peso de página</w:t>
            </w:r>
          </w:p>
        </w:tc>
      </w:tr>
    </w:tbl>
    <w:p>
      <w:pPr>
        <w:spacing w:after="40"/>
      </w:pPr>
    </w:p>
    <w:p>
      <w:pPr>
        <w:spacing w:after="120"/>
      </w:pPr>
      <w:r>
        <w:rPr>
          <w:b w:val="0"/>
          <w:i w:val="0"/>
          <w:sz w:val="22"/>
        </w:rPr>
        <w:t>Las pruebas de aceptación necesitan la Intranet y la API levantadas en local y los usuarios de prueba en «_scratch/usuarios_prueba.json». Ojo: si un usuario cambió su contraseña desde Mi Perfil, el archivo queda desactualizado y el login falla con el mismo mensaje genérico que una cuenta inexistente. Se verifica sin gastar intentos comparando el hash en la base contra FNC_PASSWORD_HASH, en vez de probar el login: cinco intentos fallidos bloquean la cuenta quince minutos.</w:t>
      </w:r>
    </w:p>
    <w:p>
      <w:pPr>
        <w:pStyle w:val="Heading1"/>
      </w:pPr>
      <w:r>
        <w:t>6. Despliegue a producción</w:t>
      </w:r>
    </w:p>
    <w:p>
      <w:pPr>
        <w:spacing w:after="120"/>
      </w:pPr>
      <w:r>
        <w:rPr>
          <w:b w:val="0"/>
          <w:i w:val="0"/>
          <w:sz w:val="22"/>
        </w:rPr>
        <w:t>Producción es SmarterASP.NET, plan .NET Premium. La Intranet y la API van como dos sitios separados, cada uno con su propio app pool, de modo que un problema en uno no se lleve al otro. El plan Premium es el que lo permite —y además da 3 GB de app pool en vez de 256 MB, que fue lo que resolvió el otro riesgo técnico grande del proyecto.</w:t>
      </w:r>
    </w:p>
    <w:p>
      <w:pPr>
        <w:pStyle w:val="Heading2"/>
      </w:pPr>
      <w:r>
        <w:t>6.1 Orden del despliegue</w:t>
      </w:r>
    </w:p>
    <w:p>
      <w:pPr>
        <w:spacing w:after="120"/>
      </w:pPr>
      <w:r>
        <w:rPr>
          <w:b w:val="0"/>
          <w:i w:val="0"/>
          <w:sz w:val="22"/>
        </w:rPr>
        <w:t>El orden importa: primero la base, después el código. Al revés, el código nuevo llega a una base que todavía no tiene las columnas que usa.</w:t>
      </w:r>
    </w:p>
    <w:p>
      <w:pPr>
        <w:pStyle w:val="ListBullet"/>
        <w:spacing w:after="60"/>
      </w:pPr>
      <w:r>
        <w:rPr>
          <w:b/>
          <w:sz w:val="21"/>
        </w:rPr>
        <w:t xml:space="preserve">Aplicar los scripts de BD </w:t>
      </w:r>
      <w:r>
        <w:rPr>
          <w:sz w:val="21"/>
        </w:rPr>
        <w:t>que falten, en orden de numeración, y verificar que una segunda ejecución no rompa nada.</w:t>
      </w:r>
    </w:p>
    <w:p>
      <w:pPr>
        <w:pStyle w:val="ListBullet"/>
        <w:spacing w:after="60"/>
      </w:pPr>
      <w:r>
        <w:rPr>
          <w:b/>
          <w:sz w:val="21"/>
        </w:rPr>
        <w:t xml:space="preserve">Compilar en Release </w:t>
      </w:r>
      <w:r>
        <w:rPr>
          <w:sz w:val="21"/>
        </w:rPr>
        <w:t>y verificar las páginas con aspnet_compiler.</w:t>
      </w:r>
    </w:p>
    <w:p>
      <w:pPr>
        <w:pStyle w:val="ListBullet"/>
        <w:spacing w:after="60"/>
      </w:pPr>
      <w:r>
        <w:rPr>
          <w:b/>
          <w:sz w:val="21"/>
        </w:rPr>
        <w:t xml:space="preserve">Subir la API </w:t>
      </w:r>
      <w:r>
        <w:rPr>
          <w:sz w:val="21"/>
        </w:rPr>
        <w:t>a su sitio y comprobar que Swagger responde.</w:t>
      </w:r>
    </w:p>
    <w:p>
      <w:pPr>
        <w:pStyle w:val="ListBullet"/>
        <w:spacing w:after="60"/>
      </w:pPr>
      <w:r>
        <w:rPr>
          <w:b/>
          <w:sz w:val="21"/>
        </w:rPr>
        <w:t xml:space="preserve">Subir la Intranet </w:t>
      </w:r>
      <w:r>
        <w:rPr>
          <w:sz w:val="21"/>
        </w:rPr>
        <w:t>a su sitio y comprobar que la pantalla de inicio de sesión carga.</w:t>
      </w:r>
    </w:p>
    <w:p>
      <w:pPr>
        <w:pStyle w:val="ListBullet"/>
        <w:spacing w:after="60"/>
      </w:pPr>
      <w:r>
        <w:rPr>
          <w:b/>
          <w:sz w:val="21"/>
        </w:rPr>
        <w:t xml:space="preserve">Revisar que los archivos de configuración </w:t>
      </w:r>
      <w:r>
        <w:rPr>
          <w:sz w:val="21"/>
        </w:rPr>
        <w:t>del servidor no hayan sido sobrescritos por los locales: data.config y Web.config llevan credenciales distintas en cada ambiente.</w:t>
      </w:r>
    </w:p>
    <w:p>
      <w:pPr>
        <w:pStyle w:val="Heading2"/>
      </w:pPr>
      <w:r>
        <w:t>6.2 Qué se sube</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701"/>
            <w:shd w:val="clear" w:color="auto" w:fill="E8E5F7"/>
          </w:tcPr>
          <w:p>
            <w:r/>
            <w:r>
              <w:rPr>
                <w:b/>
                <w:sz w:val="19"/>
              </w:rPr>
              <w:t>Sitio</w:t>
            </w:r>
          </w:p>
        </w:tc>
        <w:tc>
          <w:tcPr>
            <w:tcW w:type="dxa" w:w="4535"/>
            <w:shd w:val="clear" w:color="auto" w:fill="E8E5F7"/>
          </w:tcPr>
          <w:p>
            <w:r/>
            <w:r>
              <w:rPr>
                <w:b/>
                <w:sz w:val="19"/>
              </w:rPr>
              <w:t>Qué se copia</w:t>
            </w:r>
          </w:p>
        </w:tc>
        <w:tc>
          <w:tcPr>
            <w:tcW w:type="dxa" w:w="3402"/>
            <w:shd w:val="clear" w:color="auto" w:fill="E8E5F7"/>
          </w:tcPr>
          <w:p>
            <w:r/>
            <w:r>
              <w:rPr>
                <w:b/>
                <w:sz w:val="19"/>
              </w:rPr>
              <w:t>Qué NO se copia</w:t>
            </w:r>
          </w:p>
        </w:tc>
      </w:tr>
      <w:tr>
        <w:tc>
          <w:tcPr>
            <w:tcW w:type="dxa" w:w="1701"/>
          </w:tcPr>
          <w:p>
            <w:r/>
            <w:r>
              <w:rPr>
                <w:sz w:val="19"/>
              </w:rPr>
              <w:t>Intranet</w:t>
            </w:r>
          </w:p>
        </w:tc>
        <w:tc>
          <w:tcPr>
            <w:tcW w:type="dxa" w:w="4535"/>
          </w:tcPr>
          <w:p>
            <w:r/>
            <w:r>
              <w:rPr>
                <w:sz w:val="19"/>
              </w:rPr>
              <w:t>Todo «Web/Intranet», incluido Bin con la salida de Library</w:t>
            </w:r>
          </w:p>
        </w:tc>
        <w:tc>
          <w:tcPr>
            <w:tcW w:type="dxa" w:w="3402"/>
          </w:tcPr>
          <w:p>
            <w:r/>
            <w:r>
              <w:rPr>
                <w:sz w:val="19"/>
              </w:rPr>
              <w:t>data.config: el del servidor tiene la cadena de producción y no se pisa</w:t>
            </w:r>
          </w:p>
        </w:tc>
      </w:tr>
      <w:tr>
        <w:tc>
          <w:tcPr>
            <w:tcW w:type="dxa" w:w="1701"/>
          </w:tcPr>
          <w:p>
            <w:r/>
            <w:r>
              <w:rPr>
                <w:sz w:val="19"/>
              </w:rPr>
              <w:t>API</w:t>
            </w:r>
          </w:p>
        </w:tc>
        <w:tc>
          <w:tcPr>
            <w:tcW w:type="dxa" w:w="4535"/>
          </w:tcPr>
          <w:p>
            <w:r/>
            <w:r>
              <w:rPr>
                <w:sz w:val="19"/>
              </w:rPr>
              <w:t>El contenido de «Solucion/SIGMA/API»: bin, Web.config, Global.asax, Areas, Content, Scripts, Views</w:t>
            </w:r>
          </w:p>
        </w:tc>
        <w:tc>
          <w:tcPr>
            <w:tcW w:type="dxa" w:w="3402"/>
          </w:tcPr>
          <w:p>
            <w:r/>
            <w:r>
              <w:rPr>
                <w:sz w:val="19"/>
              </w:rPr>
              <w:t>Nada de código fuente. Web.config del servidor conserva sus claves</w:t>
            </w:r>
          </w:p>
        </w:tc>
      </w:tr>
    </w:tbl>
    <w:p>
      <w:pPr>
        <w:spacing w:after="40"/>
      </w:pPr>
    </w:p>
    <w:p>
      <w:pPr>
        <w:spacing w:after="120"/>
      </w:pPr>
      <w:r>
        <w:rPr>
          <w:b w:val="0"/>
          <w:i w:val="0"/>
          <w:sz w:val="22"/>
        </w:rPr>
        <w:t>El perfil de publicación por FTP está en «Web/Intranet/App_Data/PublishProfiles». Las credenciales del perfil no se versionan.</w:t>
      </w:r>
    </w:p>
    <w:p>
      <w:pPr>
        <w:pStyle w:val="Heading2"/>
      </w:pPr>
      <w:r>
        <w:t>6.3 Verificación después de desplegar</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835"/>
            <w:shd w:val="clear" w:color="auto" w:fill="E8E5F7"/>
          </w:tcPr>
          <w:p>
            <w:r/>
            <w:r>
              <w:rPr>
                <w:b/>
                <w:sz w:val="19"/>
              </w:rPr>
              <w:t>Comprobación</w:t>
            </w:r>
          </w:p>
        </w:tc>
        <w:tc>
          <w:tcPr>
            <w:tcW w:type="dxa" w:w="6803"/>
            <w:shd w:val="clear" w:color="auto" w:fill="E8E5F7"/>
          </w:tcPr>
          <w:p>
            <w:r/>
            <w:r>
              <w:rPr>
                <w:b/>
                <w:sz w:val="19"/>
              </w:rPr>
              <w:t>Cómo</w:t>
            </w:r>
          </w:p>
        </w:tc>
      </w:tr>
      <w:tr>
        <w:tc>
          <w:tcPr>
            <w:tcW w:type="dxa" w:w="2835"/>
          </w:tcPr>
          <w:p>
            <w:r/>
            <w:r>
              <w:rPr>
                <w:sz w:val="19"/>
              </w:rPr>
              <w:t>La API responde</w:t>
            </w:r>
          </w:p>
        </w:tc>
        <w:tc>
          <w:tcPr>
            <w:tcW w:type="dxa" w:w="6803"/>
          </w:tcPr>
          <w:p>
            <w:r/>
            <w:r>
              <w:rPr>
                <w:sz w:val="19"/>
              </w:rPr>
              <w:t>Abrir /swagger/ui/index</w:t>
            </w:r>
          </w:p>
        </w:tc>
      </w:tr>
      <w:tr>
        <w:tc>
          <w:tcPr>
            <w:tcW w:type="dxa" w:w="2835"/>
          </w:tcPr>
          <w:p>
            <w:r/>
            <w:r>
              <w:rPr>
                <w:sz w:val="19"/>
              </w:rPr>
              <w:t>La sesión funciona</w:t>
            </w:r>
          </w:p>
        </w:tc>
        <w:tc>
          <w:tcPr>
            <w:tcW w:type="dxa" w:w="6803"/>
          </w:tcPr>
          <w:p>
            <w:r/>
            <w:r>
              <w:rPr>
                <w:sz w:val="19"/>
              </w:rPr>
              <w:t>Iniciar sesión en la Intranet con un usuario real</w:t>
            </w:r>
          </w:p>
        </w:tc>
      </w:tr>
      <w:tr>
        <w:tc>
          <w:tcPr>
            <w:tcW w:type="dxa" w:w="2835"/>
          </w:tcPr>
          <w:p>
            <w:r/>
            <w:r>
              <w:rPr>
                <w:sz w:val="19"/>
              </w:rPr>
              <w:t>La base es la correcta</w:t>
            </w:r>
          </w:p>
        </w:tc>
        <w:tc>
          <w:tcPr>
            <w:tcW w:type="dxa" w:w="6803"/>
          </w:tcPr>
          <w:p>
            <w:r/>
            <w:r>
              <w:rPr>
                <w:sz w:val="19"/>
              </w:rPr>
              <w:t>Revisar que el ambiente que muestra el encabezado sea el esperado</w:t>
            </w:r>
          </w:p>
        </w:tc>
      </w:tr>
      <w:tr>
        <w:tc>
          <w:tcPr>
            <w:tcW w:type="dxa" w:w="2835"/>
          </w:tcPr>
          <w:p>
            <w:r/>
            <w:r>
              <w:rPr>
                <w:sz w:val="19"/>
              </w:rPr>
              <w:t>Los archivos suben</w:t>
            </w:r>
          </w:p>
        </w:tc>
        <w:tc>
          <w:tcPr>
            <w:tcW w:type="dxa" w:w="6803"/>
          </w:tcPr>
          <w:p>
            <w:r/>
            <w:r>
              <w:rPr>
                <w:sz w:val="19"/>
              </w:rPr>
              <w:t>Adjuntar una evidencia: es lo que recorre la cadena Intranet → API → Blob Storage</w:t>
            </w:r>
          </w:p>
        </w:tc>
      </w:tr>
      <w:tr>
        <w:tc>
          <w:tcPr>
            <w:tcW w:type="dxa" w:w="2835"/>
          </w:tcPr>
          <w:p>
            <w:r/>
            <w:r>
              <w:rPr>
                <w:sz w:val="19"/>
              </w:rPr>
              <w:t>Los permisos se aplican</w:t>
            </w:r>
          </w:p>
        </w:tc>
        <w:tc>
          <w:tcPr>
            <w:tcW w:type="dxa" w:w="6803"/>
          </w:tcPr>
          <w:p>
            <w:r/>
            <w:r>
              <w:rPr>
                <w:sz w:val="19"/>
              </w:rPr>
              <w:t>Entrar con un técnico y comprobar que no ve lo que no le corresponde</w:t>
            </w:r>
          </w:p>
        </w:tc>
      </w:tr>
    </w:tbl>
    <w:p>
      <w:pPr>
        <w:spacing w:after="40"/>
      </w:pPr>
    </w:p>
    <w:p>
      <w:pPr>
        <w:pStyle w:val="Heading1"/>
      </w:pPr>
      <w:r>
        <w:t>7. Despliegue en contenedores</w:t>
      </w:r>
    </w:p>
    <w:p>
      <w:pPr>
        <w:spacing w:after="120"/>
      </w:pPr>
      <w:r>
        <w:rPr>
          <w:b w:val="0"/>
          <w:i w:val="0"/>
          <w:sz w:val="22"/>
        </w:rPr>
        <w:t>Existe una contenedorización completa en «INFRAESTRUCTURA/docker», con su propia guía. Lo esencial:</w:t>
      </w:r>
    </w:p>
    <w:p>
      <w:pPr>
        <w:spacing w:after="160"/>
        <w:ind w:left="283"/>
      </w:pPr>
      <w:r>
        <w:rPr>
          <w:rFonts w:ascii="Consolas" w:hAnsi="Consolas"/>
          <w:sz w:val="18"/>
        </w:rPr>
        <w:t>copy .env.example .env</w:t>
        <w:br/>
        <w:t># completar .env con los valores del ambiente</w:t>
        <w:br/>
        <w:t>docker compose up -d --build</w:t>
      </w:r>
    </w:p>
    <w:p>
      <w:pPr>
        <w:spacing w:after="120"/>
      </w:pPr>
      <w:r>
        <w:rPr>
          <w:b w:val="0"/>
          <w:i w:val="0"/>
          <w:sz w:val="22"/>
        </w:rPr>
        <w:t>La Intranet queda en el puerto 8080 y la API en el 8081.</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835"/>
            <w:shd w:val="clear" w:color="auto" w:fill="E8E5F7"/>
          </w:tcPr>
          <w:p>
            <w:r/>
            <w:r>
              <w:rPr>
                <w:b/>
                <w:sz w:val="19"/>
              </w:rPr>
              <w:t>Decisión</w:t>
            </w:r>
          </w:p>
        </w:tc>
        <w:tc>
          <w:tcPr>
            <w:tcW w:type="dxa" w:w="6803"/>
            <w:shd w:val="clear" w:color="auto" w:fill="E8E5F7"/>
          </w:tcPr>
          <w:p>
            <w:r/>
            <w:r>
              <w:rPr>
                <w:b/>
                <w:sz w:val="19"/>
              </w:rPr>
              <w:t>Por qué</w:t>
            </w:r>
          </w:p>
        </w:tc>
      </w:tr>
      <w:tr>
        <w:tc>
          <w:tcPr>
            <w:tcW w:type="dxa" w:w="2835"/>
          </w:tcPr>
          <w:p>
            <w:r/>
            <w:r>
              <w:rPr>
                <w:sz w:val="19"/>
              </w:rPr>
              <w:t>Contenedores Windows, no Linux</w:t>
            </w:r>
          </w:p>
        </w:tc>
        <w:tc>
          <w:tcPr>
            <w:tcW w:type="dxa" w:w="6803"/>
          </w:tcPr>
          <w:p>
            <w:r/>
            <w:r>
              <w:rPr>
                <w:sz w:val="19"/>
              </w:rPr>
              <w:t>La plataforma es .NET Framework 4.8 sobre IIS. No es una preferencia: no existe imagen Linux posible</w:t>
            </w:r>
          </w:p>
        </w:tc>
      </w:tr>
      <w:tr>
        <w:tc>
          <w:tcPr>
            <w:tcW w:type="dxa" w:w="2835"/>
          </w:tcPr>
          <w:p>
            <w:r/>
            <w:r>
              <w:rPr>
                <w:sz w:val="19"/>
              </w:rPr>
              <w:t>La base de datos no se contenedoriza</w:t>
            </w:r>
          </w:p>
        </w:tc>
        <w:tc>
          <w:tcPr>
            <w:tcW w:type="dxa" w:w="6803"/>
          </w:tcPr>
          <w:p>
            <w:r/>
            <w:r>
              <w:rPr>
                <w:sz w:val="19"/>
              </w:rPr>
              <w:t>No hay imagen oficial de SQL Server para contenedores Windows, y Docker no corre contenedores Linux y Windows a la vez. Además, en producción la base la administra el hosting: meterla haría que el contenedor se pareciera menos al ambiente real</w:t>
            </w:r>
          </w:p>
        </w:tc>
      </w:tr>
      <w:tr>
        <w:tc>
          <w:tcPr>
            <w:tcW w:type="dxa" w:w="2835"/>
          </w:tcPr>
          <w:p>
            <w:r/>
            <w:r>
              <w:rPr>
                <w:sz w:val="19"/>
              </w:rPr>
              <w:t>Se compila dentro de la imagen</w:t>
            </w:r>
          </w:p>
        </w:tc>
        <w:tc>
          <w:tcPr>
            <w:tcW w:type="dxa" w:w="6803"/>
          </w:tcPr>
          <w:p>
            <w:r/>
            <w:r>
              <w:rPr>
                <w:sz w:val="19"/>
              </w:rPr>
              <w:t>bin/ está en .gitignore. Si la imagen copiara un bin local, lo que corre dependería del equipo de quien la construyó</w:t>
            </w:r>
          </w:p>
        </w:tc>
      </w:tr>
      <w:tr>
        <w:tc>
          <w:tcPr>
            <w:tcW w:type="dxa" w:w="2835"/>
          </w:tcPr>
          <w:p>
            <w:r/>
            <w:r>
              <w:rPr>
                <w:sz w:val="19"/>
              </w:rPr>
              <w:t>Ninguna credencial dentro de la imagen</w:t>
            </w:r>
          </w:p>
        </w:tc>
        <w:tc>
          <w:tcPr>
            <w:tcW w:type="dxa" w:w="6803"/>
          </w:tcPr>
          <w:p>
            <w:r/>
            <w:r>
              <w:rPr>
                <w:sz w:val="19"/>
              </w:rPr>
              <w:t>Una imagen con la cadena de conexión adentro queda en el historial de capas para siempre. Todo entra por variable de entorno al arrancar</w:t>
            </w:r>
          </w:p>
        </w:tc>
      </w:tr>
      <w:tr>
        <w:tc>
          <w:tcPr>
            <w:tcW w:type="dxa" w:w="2835"/>
          </w:tcPr>
          <w:p>
            <w:r/>
            <w:r>
              <w:rPr>
                <w:sz w:val="19"/>
              </w:rPr>
              <w:t>Dos imágenes, no una</w:t>
            </w:r>
          </w:p>
        </w:tc>
        <w:tc>
          <w:tcPr>
            <w:tcW w:type="dxa" w:w="6803"/>
          </w:tcPr>
          <w:p>
            <w:r/>
            <w:r>
              <w:rPr>
                <w:sz w:val="19"/>
              </w:rPr>
              <w:t>Reproduce la separación de app pools de producción</w:t>
            </w:r>
          </w:p>
        </w:tc>
      </w:tr>
      <w:tr>
        <w:tc>
          <w:tcPr>
            <w:tcW w:type="dxa" w:w="2835"/>
          </w:tcPr>
          <w:p>
            <w:r/>
            <w:r>
              <w:rPr>
                <w:sz w:val="19"/>
              </w:rPr>
              <w:t>Sin variable obligatoria, no arranca</w:t>
            </w:r>
          </w:p>
        </w:tc>
        <w:tc>
          <w:tcPr>
            <w:tcW w:type="dxa" w:w="6803"/>
          </w:tcPr>
          <w:p>
            <w:r/>
            <w:r>
              <w:rPr>
                <w:sz w:val="19"/>
              </w:rPr>
              <w:t>SIGMA_DB_CONNECTION y SIGMA_JWT_SECRET. Un sitio que levanta a medias falla recién cuando alguien entra</w:t>
            </w:r>
          </w:p>
        </w:tc>
      </w:tr>
    </w:tbl>
    <w:p>
      <w:pPr>
        <w:spacing w:after="40"/>
      </w:pPr>
    </w:p>
    <w:p>
      <w:pPr>
        <w:pStyle w:val="Heading1"/>
      </w:pPr>
      <w:r>
        <w:t>8. Convenciones que no se deben romper</w:t>
      </w:r>
    </w:p>
    <w:p>
      <w:pPr>
        <w:pStyle w:val="ListBullet"/>
        <w:spacing w:after="60"/>
      </w:pPr>
      <w:r>
        <w:rPr>
          <w:b/>
          <w:sz w:val="21"/>
        </w:rPr>
        <w:t xml:space="preserve">Archivos en UTF-8 con BOM y CRLF. </w:t>
      </w:r>
      <w:r>
        <w:rPr>
          <w:sz w:val="21"/>
        </w:rPr>
        <w:t>Si no, los acentos salen rotos en las páginas. Hay un script que lo audita: «python _scratch/bom.py».</w:t>
      </w:r>
    </w:p>
    <w:p>
      <w:pPr>
        <w:pStyle w:val="ListBullet"/>
        <w:spacing w:after="60"/>
      </w:pPr>
      <w:r>
        <w:rPr>
          <w:b/>
          <w:sz w:val="21"/>
        </w:rPr>
        <w:t xml:space="preserve">Dentro del formulario del master, </w:t>
      </w:r>
      <w:r>
        <w:rPr>
          <w:sz w:val="21"/>
        </w:rPr>
        <w:t>todo &lt;button&gt; lleva type="button" salvo que deba enviar. Si no, cualquier botón provoca un envío del formulario completo.</w:t>
      </w:r>
    </w:p>
    <w:p>
      <w:pPr>
        <w:pStyle w:val="ListBullet"/>
        <w:spacing w:after="60"/>
      </w:pPr>
      <w:r>
        <w:rPr>
          <w:b/>
          <w:sz w:val="21"/>
        </w:rPr>
        <w:t xml:space="preserve">Los menús nunca se borran: </w:t>
      </w:r>
      <w:r>
        <w:rPr>
          <w:sz w:val="21"/>
        </w:rPr>
        <w:t>se ocultan con mnu_visible = 0. Borrar una fila de Menus rompe los permisos que la referencian.</w:t>
      </w:r>
    </w:p>
    <w:p>
      <w:pPr>
        <w:pStyle w:val="ListBullet"/>
        <w:spacing w:after="60"/>
      </w:pPr>
      <w:r>
        <w:rPr>
          <w:b/>
          <w:sz w:val="21"/>
        </w:rPr>
        <w:t xml:space="preserve">La regla de negocio va en el procedimiento almacenado, </w:t>
      </w:r>
      <w:r>
        <w:rPr>
          <w:sz w:val="21"/>
        </w:rPr>
        <w:t>no solo en la pantalla. La web y la API consumen los mismos procedimientos; si la regla vive en una pantalla, la otra vía no la tiene.</w:t>
      </w:r>
    </w:p>
    <w:p>
      <w:pPr>
        <w:pStyle w:val="ListBullet"/>
        <w:spacing w:after="60"/>
      </w:pPr>
      <w:r>
        <w:rPr>
          <w:b/>
          <w:sz w:val="21"/>
        </w:rPr>
        <w:t xml:space="preserve">El permiso se valida en el servidor. </w:t>
      </w:r>
      <w:r>
        <w:rPr>
          <w:sz w:val="21"/>
        </w:rPr>
        <w:t>Ocultar el botón no es control de acceso: la acción tiene que rechazarse aunque se invoque directamente.</w:t>
      </w:r>
    </w:p>
    <w:p>
      <w:pPr>
        <w:pStyle w:val="ListBullet"/>
        <w:spacing w:after="60"/>
      </w:pPr>
      <w:r>
        <w:rPr>
          <w:b/>
          <w:sz w:val="21"/>
        </w:rPr>
        <w:t xml:space="preserve">Toda vista nueva sigue el estándar de interfaz </w:t>
      </w:r>
      <w:r>
        <w:rPr>
          <w:sz w:val="21"/>
        </w:rPr>
        <w:t>de CLAUDE.md: la paleta, el significado de cada color de botón y el anillo de foco.</w:t>
      </w:r>
    </w:p>
    <w:p>
      <w:pPr>
        <w:pStyle w:val="Heading1"/>
      </w:pPr>
      <w:r>
        <w:t>9. Problemas conocidos y cómo resolverlos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835"/>
            <w:shd w:val="clear" w:color="auto" w:fill="E8E5F7"/>
          </w:tcPr>
          <w:p>
            <w:r/>
            <w:r>
              <w:rPr>
                <w:b/>
                <w:sz w:val="19"/>
              </w:rPr>
              <w:t>Síntoma</w:t>
            </w:r>
          </w:p>
        </w:tc>
        <w:tc>
          <w:tcPr>
            <w:tcW w:type="dxa" w:w="3402"/>
            <w:shd w:val="clear" w:color="auto" w:fill="E8E5F7"/>
          </w:tcPr>
          <w:p>
            <w:r/>
            <w:r>
              <w:rPr>
                <w:b/>
                <w:sz w:val="19"/>
              </w:rPr>
              <w:t>Causa</w:t>
            </w:r>
          </w:p>
        </w:tc>
        <w:tc>
          <w:tcPr>
            <w:tcW w:type="dxa" w:w="3402"/>
            <w:shd w:val="clear" w:color="auto" w:fill="E8E5F7"/>
          </w:tcPr>
          <w:p>
            <w:r/>
            <w:r>
              <w:rPr>
                <w:b/>
                <w:sz w:val="19"/>
              </w:rPr>
              <w:t>Solución</w:t>
            </w:r>
          </w:p>
        </w:tc>
      </w:tr>
      <w:tr>
        <w:tc>
          <w:tcPr>
            <w:tcW w:type="dxa" w:w="2835"/>
          </w:tcPr>
          <w:p>
            <w:r/>
            <w:r>
              <w:rPr>
                <w:sz w:val="19"/>
              </w:rPr>
              <w:t>MSBuild falla con «no se pudo cargar la tarea ResolveTelerikProducts»</w:t>
            </w:r>
          </w:p>
        </w:tc>
        <w:tc>
          <w:tcPr>
            <w:tcW w:type="dxa" w:w="3402"/>
          </w:tcPr>
          <w:p>
            <w:r/>
            <w:r>
              <w:rPr>
                <w:sz w:val="19"/>
              </w:rPr>
              <w:t>Se está usando el MSBuild del Framework, que es la versión 4</w:t>
            </w:r>
          </w:p>
        </w:tc>
        <w:tc>
          <w:tcPr>
            <w:tcW w:type="dxa" w:w="3402"/>
          </w:tcPr>
          <w:p>
            <w:r/>
            <w:r>
              <w:rPr>
                <w:sz w:val="19"/>
              </w:rPr>
              <w:t>Usar el MSBuild de Visual Studio 2022</w:t>
            </w:r>
          </w:p>
        </w:tc>
      </w:tr>
      <w:tr>
        <w:tc>
          <w:tcPr>
            <w:tcW w:type="dxa" w:w="2835"/>
          </w:tcPr>
          <w:p>
            <w:r/>
            <w:r>
              <w:rPr>
                <w:sz w:val="19"/>
              </w:rPr>
              <w:t>Los acentos se ven rotos en una página</w:t>
            </w:r>
          </w:p>
        </w:tc>
        <w:tc>
          <w:tcPr>
            <w:tcW w:type="dxa" w:w="3402"/>
          </w:tcPr>
          <w:p>
            <w:r/>
            <w:r>
              <w:rPr>
                <w:sz w:val="19"/>
              </w:rPr>
              <w:t>El archivo se guardó sin BOM o con saltos de línea Unix</w:t>
            </w:r>
          </w:p>
        </w:tc>
        <w:tc>
          <w:tcPr>
            <w:tcW w:type="dxa" w:w="3402"/>
          </w:tcPr>
          <w:p>
            <w:r/>
            <w:r>
              <w:rPr>
                <w:sz w:val="19"/>
              </w:rPr>
              <w:t>Ejecutar «python _scratch/bom.py» y volver a guardar</w:t>
            </w:r>
          </w:p>
        </w:tc>
      </w:tr>
      <w:tr>
        <w:tc>
          <w:tcPr>
            <w:tcW w:type="dxa" w:w="2835"/>
          </w:tcPr>
          <w:p>
            <w:r/>
            <w:r>
              <w:rPr>
                <w:sz w:val="19"/>
              </w:rPr>
              <w:t>Un endpoint anónimo de la API devuelve 401 sin motivo</w:t>
            </w:r>
          </w:p>
        </w:tc>
        <w:tc>
          <w:tcPr>
            <w:tcW w:type="dxa" w:w="3402"/>
          </w:tcPr>
          <w:p>
            <w:r/>
            <w:r>
              <w:rPr>
                <w:sz w:val="19"/>
              </w:rPr>
              <w:t>El cliente está enviando un encabezado Authorization vencido. El TokenValidationHandler valida el token antes de enrutar, incluso en los endpoints anónimos</w:t>
            </w:r>
          </w:p>
        </w:tc>
        <w:tc>
          <w:tcPr>
            <w:tcW w:type="dxa" w:w="3402"/>
          </w:tcPr>
          <w:p>
            <w:r/>
            <w:r>
              <w:rPr>
                <w:sz w:val="19"/>
              </w:rPr>
              <w:t>Limpiar el encabezado en el cliente antes de llamar a /sesion</w:t>
            </w:r>
          </w:p>
        </w:tc>
      </w:tr>
      <w:tr>
        <w:tc>
          <w:tcPr>
            <w:tcW w:type="dxa" w:w="2835"/>
          </w:tcPr>
          <w:p>
            <w:r/>
            <w:r>
              <w:rPr>
                <w:sz w:val="19"/>
              </w:rPr>
              <w:t>La API responde 402 en todo</w:t>
            </w:r>
          </w:p>
        </w:tc>
        <w:tc>
          <w:tcPr>
            <w:tcW w:type="dxa" w:w="3402"/>
          </w:tcPr>
          <w:p>
            <w:r/>
            <w:r>
              <w:rPr>
                <w:sz w:val="19"/>
              </w:rPr>
              <w:t>La suscripción del cliente no está vigente: el SuscripcionVigenteHandler corta antes de llegar al controller</w:t>
            </w:r>
          </w:p>
        </w:tc>
        <w:tc>
          <w:tcPr>
            <w:tcW w:type="dxa" w:w="3402"/>
          </w:tcPr>
          <w:p>
            <w:r/>
            <w:r>
              <w:rPr>
                <w:sz w:val="19"/>
              </w:rPr>
              <w:t>Regularizar la suscripción desde la web, con un usuario que tenga el permiso de renovar</w:t>
            </w:r>
          </w:p>
        </w:tc>
      </w:tr>
      <w:tr>
        <w:tc>
          <w:tcPr>
            <w:tcW w:type="dxa" w:w="2835"/>
          </w:tcPr>
          <w:p>
            <w:r/>
            <w:r>
              <w:rPr>
                <w:sz w:val="19"/>
              </w:rPr>
              <w:t>El inicio de sesión falla con un usuario que debería existir</w:t>
            </w:r>
          </w:p>
        </w:tc>
        <w:tc>
          <w:tcPr>
            <w:tcW w:type="dxa" w:w="3402"/>
          </w:tcPr>
          <w:p>
            <w:r/>
            <w:r>
              <w:rPr>
                <w:sz w:val="19"/>
              </w:rPr>
              <w:t>SEL_LOGIN devuelve el mismo mensaje para cuenta inexistente, contraseña incorrecta y afiliación deshabilitada: es deliberado, para no revelar qué correos están registrados</w:t>
            </w:r>
          </w:p>
        </w:tc>
        <w:tc>
          <w:tcPr>
            <w:tcW w:type="dxa" w:w="3402"/>
          </w:tcPr>
          <w:p>
            <w:r/>
            <w:r>
              <w:rPr>
                <w:sz w:val="19"/>
              </w:rPr>
              <w:t>Diagnosticar en la base comparando el hash con FNC_PASSWORD_HASH, sin gastar intentos de acceso</w:t>
            </w:r>
          </w:p>
        </w:tc>
      </w:tr>
      <w:tr>
        <w:tc>
          <w:tcPr>
            <w:tcW w:type="dxa" w:w="2835"/>
          </w:tcPr>
          <w:p>
            <w:r/>
            <w:r>
              <w:rPr>
                <w:sz w:val="19"/>
              </w:rPr>
              <w:t>Una cuenta queda bloqueada</w:t>
            </w:r>
          </w:p>
        </w:tc>
        <w:tc>
          <w:tcPr>
            <w:tcW w:type="dxa" w:w="3402"/>
          </w:tcPr>
          <w:p>
            <w:r/>
            <w:r>
              <w:rPr>
                <w:sz w:val="19"/>
              </w:rPr>
              <w:t>Cinco intentos fallidos en quince minutos</w:t>
            </w:r>
          </w:p>
        </w:tc>
        <w:tc>
          <w:tcPr>
            <w:tcW w:type="dxa" w:w="3402"/>
          </w:tcPr>
          <w:p>
            <w:r/>
            <w:r>
              <w:rPr>
                <w:sz w:val="19"/>
              </w:rPr>
              <w:t>Esperar quince minutos; el bloqueo se levanta solo</w:t>
            </w:r>
          </w:p>
        </w:tc>
      </w:tr>
      <w:tr>
        <w:tc>
          <w:tcPr>
            <w:tcW w:type="dxa" w:w="2835"/>
          </w:tcPr>
          <w:p>
            <w:r/>
            <w:r>
              <w:rPr>
                <w:sz w:val="19"/>
              </w:rPr>
              <w:t>Un procedimiento con FOR XML falla al aplicarse</w:t>
            </w:r>
          </w:p>
        </w:tc>
        <w:tc>
          <w:tcPr>
            <w:tcW w:type="dxa" w:w="3402"/>
          </w:tcPr>
          <w:p>
            <w:r/>
            <w:r>
              <w:rPr>
                <w:sz w:val="19"/>
              </w:rPr>
              <w:t>sqlcmd no activa QUOTED_IDENTIFIER por defecto</w:t>
            </w:r>
          </w:p>
        </w:tc>
        <w:tc>
          <w:tcPr>
            <w:tcW w:type="dxa" w:w="3402"/>
          </w:tcPr>
          <w:p>
            <w:r/>
            <w:r>
              <w:rPr>
                <w:sz w:val="19"/>
              </w:rPr>
              <w:t>Aplicarlo con «-I»</w:t>
            </w:r>
          </w:p>
        </w:tc>
      </w:tr>
      <w:tr>
        <w:tc>
          <w:tcPr>
            <w:tcW w:type="dxa" w:w="2835"/>
          </w:tcPr>
          <w:p>
            <w:r/>
            <w:r>
              <w:rPr>
                <w:sz w:val="19"/>
              </w:rPr>
              <w:t>Una pantalla nueva no aparece en el menú</w:t>
            </w:r>
          </w:p>
        </w:tc>
        <w:tc>
          <w:tcPr>
            <w:tcW w:type="dxa" w:w="3402"/>
          </w:tcPr>
          <w:p>
            <w:r/>
            <w:r>
              <w:rPr>
                <w:sz w:val="19"/>
              </w:rPr>
              <w:t>No basta con crear el .aspx: la pantalla existe cuando hay una fila en Menus y un permiso que la referencia</w:t>
            </w:r>
          </w:p>
        </w:tc>
        <w:tc>
          <w:tcPr>
            <w:tcW w:type="dxa" w:w="3402"/>
          </w:tcPr>
          <w:p>
            <w:r/>
            <w:r>
              <w:rPr>
                <w:sz w:val="19"/>
              </w:rPr>
              <w:t>Agregar el registro en Menus y asignar el permiso al perfil</w:t>
            </w:r>
          </w:p>
        </w:tc>
      </w:tr>
    </w:tbl>
    <w:p>
      <w:pPr>
        <w:spacing w:after="40"/>
      </w:pPr>
    </w:p>
    <w:p>
      <w:pPr>
        <w:pStyle w:val="Heading1"/>
      </w:pPr>
      <w:r>
        <w:t>10. Dónde seguir leyendo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3685"/>
            <w:shd w:val="clear" w:color="auto" w:fill="E8E5F7"/>
          </w:tcPr>
          <w:p>
            <w:r/>
            <w:r>
              <w:rPr>
                <w:b/>
                <w:sz w:val="19"/>
              </w:rPr>
              <w:t>Documento</w:t>
            </w:r>
          </w:p>
        </w:tc>
        <w:tc>
          <w:tcPr>
            <w:tcW w:type="dxa" w:w="5953"/>
            <w:shd w:val="clear" w:color="auto" w:fill="E8E5F7"/>
          </w:tcPr>
          <w:p>
            <w:r/>
            <w:r>
              <w:rPr>
                <w:b/>
                <w:sz w:val="19"/>
              </w:rPr>
              <w:t>Qué responde</w:t>
            </w:r>
          </w:p>
        </w:tc>
      </w:tr>
      <w:tr>
        <w:tc>
          <w:tcPr>
            <w:tcW w:type="dxa" w:w="3685"/>
          </w:tcPr>
          <w:p>
            <w:r/>
            <w:r>
              <w:rPr>
                <w:sz w:val="19"/>
              </w:rPr>
              <w:t>MD/SIGMA_ESTADO_DESARROLLO.md</w:t>
            </w:r>
          </w:p>
        </w:tc>
        <w:tc>
          <w:tcPr>
            <w:tcW w:type="dxa" w:w="5953"/>
          </w:tcPr>
          <w:p>
            <w:r/>
            <w:r>
              <w:rPr>
                <w:sz w:val="19"/>
              </w:rPr>
              <w:t>En qué está el proyecto, qué se decidió y por qué, y la bitácora de cada bloque de trabajo. Es el punto de entrada</w:t>
            </w:r>
          </w:p>
        </w:tc>
      </w:tr>
      <w:tr>
        <w:tc>
          <w:tcPr>
            <w:tcW w:type="dxa" w:w="3685"/>
          </w:tcPr>
          <w:p>
            <w:r/>
            <w:r>
              <w:rPr>
                <w:sz w:val="19"/>
              </w:rPr>
              <w:t>PATRONES/</w:t>
            </w:r>
          </w:p>
        </w:tc>
        <w:tc>
          <w:tcPr>
            <w:tcW w:type="dxa" w:w="5953"/>
          </w:tcPr>
          <w:p>
            <w:r/>
            <w:r>
              <w:rPr>
                <w:sz w:val="19"/>
              </w:rPr>
              <w:t>Cómo se escribe una entidad nueva de punta a punta, y las convenciones del proyecto</w:t>
            </w:r>
          </w:p>
        </w:tc>
      </w:tr>
      <w:tr>
        <w:tc>
          <w:tcPr>
            <w:tcW w:type="dxa" w:w="3685"/>
          </w:tcPr>
          <w:p>
            <w:r/>
            <w:r>
              <w:rPr>
                <w:sz w:val="19"/>
              </w:rPr>
              <w:t>Fase 2/SIGMA_Documento_Diseno.docx</w:t>
            </w:r>
          </w:p>
        </w:tc>
        <w:tc>
          <w:tcPr>
            <w:tcW w:type="dxa" w:w="5953"/>
          </w:tcPr>
          <w:p>
            <w:r/>
            <w:r>
              <w:rPr>
                <w:sz w:val="19"/>
              </w:rPr>
              <w:t>La arquitectura, el modelo de datos completo y las decisiones de arquitectura</w:t>
            </w:r>
          </w:p>
        </w:tc>
      </w:tr>
      <w:tr>
        <w:tc>
          <w:tcPr>
            <w:tcW w:type="dxa" w:w="3685"/>
          </w:tcPr>
          <w:p>
            <w:r/>
            <w:r>
              <w:rPr>
                <w:sz w:val="19"/>
              </w:rPr>
              <w:t>Fase 2/Pruebas/SIGMA_Plan_de_Pruebas.docx</w:t>
            </w:r>
          </w:p>
        </w:tc>
        <w:tc>
          <w:tcPr>
            <w:tcW w:type="dxa" w:w="5953"/>
          </w:tcPr>
          <w:p>
            <w:r/>
            <w:r>
              <w:rPr>
                <w:sz w:val="19"/>
              </w:rPr>
              <w:t>Qué se prueba, en qué nivel y con qué criterio se da por aprobado</w:t>
            </w:r>
          </w:p>
        </w:tc>
      </w:tr>
      <w:tr>
        <w:tc>
          <w:tcPr>
            <w:tcW w:type="dxa" w:w="3685"/>
          </w:tcPr>
          <w:p>
            <w:r/>
            <w:r>
              <w:rPr>
                <w:sz w:val="19"/>
              </w:rPr>
              <w:t>Fase 2/SIGMA_Requisitos_No_Funcionales.docx</w:t>
            </w:r>
          </w:p>
        </w:tc>
        <w:tc>
          <w:tcPr>
            <w:tcW w:type="dxa" w:w="5953"/>
          </w:tcPr>
          <w:p>
            <w:r/>
            <w:r>
              <w:rPr>
                <w:sz w:val="19"/>
              </w:rPr>
              <w:t>Qué exige el sistema en seguridad, rendimiento, escalabilidad y disponibilidad</w:t>
            </w:r>
          </w:p>
        </w:tc>
      </w:tr>
      <w:tr>
        <w:tc>
          <w:tcPr>
            <w:tcW w:type="dxa" w:w="3685"/>
          </w:tcPr>
          <w:p>
            <w:r/>
            <w:r>
              <w:rPr>
                <w:sz w:val="19"/>
              </w:rPr>
              <w:t>INFRAESTRUCTURA/docker/README.md</w:t>
            </w:r>
          </w:p>
        </w:tc>
        <w:tc>
          <w:tcPr>
            <w:tcW w:type="dxa" w:w="5953"/>
          </w:tcPr>
          <w:p>
            <w:r/>
            <w:r>
              <w:rPr>
                <w:sz w:val="19"/>
              </w:rPr>
              <w:t>La contenedorización en detalle</w:t>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