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REQUISITOS NO FUNCIONALES</w:t>
      </w:r>
    </w:p>
    <w:p>
      <w:pPr>
        <w:spacing w:after="40"/>
      </w:pPr>
      <w:r>
        <w:rPr>
          <w:b w:val="0"/>
          <w:i w:val="0"/>
          <w:sz w:val="26"/>
        </w:rPr>
        <w:t>SIGMA · Sistema Integrado de Gestión de Mantenimiento Industrial</w:t>
      </w:r>
    </w:p>
    <w:p>
      <w:pPr>
        <w:spacing w:after="240"/>
      </w:pPr>
      <w:r>
        <w:rPr>
          <w:b w:val="0"/>
          <w:i w:val="0"/>
          <w:color w:val="555555"/>
          <w:sz w:val="22"/>
        </w:rPr>
        <w:t>SIGMA · Sistema Integrado de Gestión de Mantenimiento Industrial · versión 1.0 · 01-10-2026</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Proyecto</w:t>
            </w:r>
          </w:p>
        </w:tc>
        <w:tc>
          <w:tcPr>
            <w:tcW w:type="dxa" w:w="6803"/>
          </w:tcPr>
          <w:p>
            <w:r/>
            <w:r>
              <w:rPr>
                <w:sz w:val="20"/>
              </w:rPr>
              <w:t>SIGMA — Sistema Integrado de Gestión de Mantenimiento Industrial</w:t>
            </w:r>
          </w:p>
        </w:tc>
      </w:tr>
      <w:tr>
        <w:tc>
          <w:tcPr>
            <w:tcW w:type="dxa" w:w="2551"/>
            <w:shd w:val="clear" w:color="auto" w:fill="F3F1FB"/>
          </w:tcPr>
          <w:p>
            <w:r/>
            <w:r>
              <w:rPr>
                <w:b/>
                <w:sz w:val="20"/>
              </w:rPr>
              <w:t>Equipo</w:t>
            </w:r>
          </w:p>
        </w:tc>
        <w:tc>
          <w:tcPr>
            <w:tcW w:type="dxa" w:w="6803"/>
          </w:tcPr>
          <w:p>
            <w:r/>
            <w:r>
              <w:rPr>
                <w:sz w:val="20"/>
              </w:rPr>
              <w:t>Código Creativo</w:t>
            </w:r>
          </w:p>
        </w:tc>
      </w:tr>
      <w:tr>
        <w:tc>
          <w:tcPr>
            <w:tcW w:type="dxa" w:w="2551"/>
            <w:shd w:val="clear" w:color="auto" w:fill="F3F1FB"/>
          </w:tcPr>
          <w:p>
            <w:r/>
            <w:r>
              <w:rPr>
                <w:b/>
                <w:sz w:val="20"/>
              </w:rPr>
              <w:t>Cliente piloto</w:t>
            </w:r>
          </w:p>
        </w:tc>
        <w:tc>
          <w:tcPr>
            <w:tcW w:type="dxa" w:w="6803"/>
          </w:tcPr>
          <w:p>
            <w:r/>
            <w:r>
              <w:rPr>
                <w:sz w:val="20"/>
              </w:rPr>
              <w:t>Hamburgo S.A. — Planta Renca, Región Metropolitana, Chile</w:t>
            </w:r>
          </w:p>
        </w:tc>
      </w:tr>
      <w:tr>
        <w:tc>
          <w:tcPr>
            <w:tcW w:type="dxa" w:w="2551"/>
            <w:shd w:val="clear" w:color="auto" w:fill="F3F1FB"/>
          </w:tcPr>
          <w:p>
            <w:r/>
            <w:r>
              <w:rPr>
                <w:b/>
                <w:sz w:val="20"/>
              </w:rPr>
              <w:t>Artefacto</w:t>
            </w:r>
          </w:p>
        </w:tc>
        <w:tc>
          <w:tcPr>
            <w:tcW w:type="dxa" w:w="6803"/>
          </w:tcPr>
          <w:p>
            <w:r/>
            <w:r>
              <w:rPr>
                <w:sz w:val="20"/>
              </w:rPr>
              <w:t>Requisitos No Funcionales (RNF) — entregable obligatorio de Fase 2</w:t>
            </w:r>
          </w:p>
        </w:tc>
      </w:tr>
      <w:tr>
        <w:tc>
          <w:tcPr>
            <w:tcW w:type="dxa" w:w="2551"/>
            <w:shd w:val="clear" w:color="auto" w:fill="F3F1FB"/>
          </w:tcPr>
          <w:p>
            <w:r/>
            <w:r>
              <w:rPr>
                <w:b/>
                <w:sz w:val="20"/>
              </w:rPr>
              <w:t>Responsable</w:t>
            </w:r>
          </w:p>
        </w:tc>
        <w:tc>
          <w:tcPr>
            <w:tcW w:type="dxa" w:w="6803"/>
          </w:tcPr>
          <w:p>
            <w:r/>
            <w:r>
              <w:rPr>
                <w:sz w:val="20"/>
              </w:rPr>
              <w:t>Bryan Chávez (Developer), con Emilio Fuentes (Scrum Master)</w:t>
            </w:r>
          </w:p>
        </w:tc>
      </w:tr>
      <w:tr>
        <w:tc>
          <w:tcPr>
            <w:tcW w:type="dxa" w:w="2551"/>
            <w:shd w:val="clear" w:color="auto" w:fill="F3F1FB"/>
          </w:tcPr>
          <w:p>
            <w:r/>
            <w:r>
              <w:rPr>
                <w:b/>
                <w:sz w:val="20"/>
              </w:rPr>
              <w:t>Alcance</w:t>
            </w:r>
          </w:p>
        </w:tc>
        <w:tc>
          <w:tcPr>
            <w:tcW w:type="dxa" w:w="6803"/>
          </w:tcPr>
          <w:p>
            <w:r/>
            <w:r>
              <w:rPr>
                <w:sz w:val="20"/>
              </w:rPr>
              <w:t>Web (Intranet ASP.NET WebForms) y API REST (ASP.NET Web API 2) sobre SQL Server. La aplicación móvil Flutter hereda estos mismos requisitos del lado servidor.</w:t>
            </w:r>
          </w:p>
        </w:tc>
      </w:tr>
      <w:tr>
        <w:tc>
          <w:tcPr>
            <w:tcW w:type="dxa" w:w="2551"/>
            <w:shd w:val="clear" w:color="auto" w:fill="F3F1FB"/>
          </w:tcPr>
          <w:p>
            <w:r/>
            <w:r>
              <w:rPr>
                <w:b/>
                <w:sz w:val="20"/>
              </w:rPr>
              <w:t>Versión</w:t>
            </w:r>
          </w:p>
        </w:tc>
        <w:tc>
          <w:tcPr>
            <w:tcW w:type="dxa" w:w="6803"/>
          </w:tcPr>
          <w:p>
            <w:r/>
            <w:r>
              <w:rPr>
                <w:sz w:val="20"/>
              </w:rPr>
              <w:t>1.0</w:t>
            </w:r>
          </w:p>
        </w:tc>
      </w:tr>
      <w:tr>
        <w:tc>
          <w:tcPr>
            <w:tcW w:type="dxa" w:w="2551"/>
            <w:shd w:val="clear" w:color="auto" w:fill="F3F1FB"/>
          </w:tcPr>
          <w:p>
            <w:r/>
            <w:r>
              <w:rPr>
                <w:b/>
                <w:sz w:val="20"/>
              </w:rPr>
              <w:t>Fecha de emisión</w:t>
            </w:r>
          </w:p>
        </w:tc>
        <w:tc>
          <w:tcPr>
            <w:tcW w:type="dxa" w:w="6803"/>
          </w:tcPr>
          <w:p>
            <w:r/>
            <w:r>
              <w:rPr>
                <w:sz w:val="20"/>
              </w:rPr>
              <w:t>01 de octubre de 2026</w:t>
            </w:r>
          </w:p>
        </w:tc>
      </w:tr>
    </w:tbl>
    <w:p>
      <w:pPr>
        <w:spacing w:after="40"/>
      </w:pPr>
    </w:p>
    <w:p>
      <w:pPr>
        <w:pStyle w:val="Heading1"/>
      </w:pPr>
      <w:r>
        <w:t>1. Qué es este documento</w:t>
      </w:r>
    </w:p>
    <w:p>
      <w:pPr>
        <w:spacing w:after="120"/>
      </w:pPr>
      <w:r>
        <w:rPr>
          <w:b w:val="0"/>
          <w:i w:val="0"/>
          <w:sz w:val="22"/>
        </w:rPr>
        <w:t>Un requisito no funcional define una cualidad que el sistema debe tener —qué tan seguro, rápido, grande o disponible es—, a diferencia de un requisito funcional, que define qué hace el sistema. Este documento declara los requisitos no funcionales de SIGMA en cuatro dimensiones (seguridad, rendimiento, escalabilidad, disponibilidad) y el marco legal y normativo que el proyecto respeta, y describe para cada uno el mecanismo concreto del sistema que lo satisface: el archivo, el procedimiento almacenado o el acuerdo de equipo donde vive.</w:t>
      </w:r>
    </w:p>
    <w:p>
      <w:pPr>
        <w:spacing w:after="120"/>
      </w:pPr>
      <w:r>
        <w:rPr>
          <w:b w:val="0"/>
          <w:i w:val="0"/>
          <w:sz w:val="21"/>
        </w:rPr>
        <w:t>Es un documento de definición, no de seguimiento: el estado de avance de cada requisito se audita en el MD de estado del repositorio, que se actualiza al cerrar cada Sprint. Aquí se fija QUÉ exige el proyecto y CÓMO lo resuelve SIGMA.</w:t>
      </w:r>
    </w:p>
    <w:p>
      <w:pPr>
        <w:pStyle w:val="Heading1"/>
      </w:pPr>
      <w:r>
        <w:t>2. Seguridad</w:t>
      </w:r>
    </w:p>
    <w:p>
      <w:pPr>
        <w:spacing w:after="120"/>
      </w:pPr>
      <w:r>
        <w:rPr>
          <w:b w:val="0"/>
          <w:i w:val="0"/>
          <w:sz w:val="22"/>
        </w:rPr>
        <w:t>SIGMA es multicliente: la misma base de datos sirve a varios clientes (Hamburgo S.A. y los de prueba), así que el aislamiento entre clientes es, junto con la autenticación, el eje de la seguridad del sistema.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587"/>
            <w:shd w:val="clear" w:color="auto" w:fill="E8E5F7"/>
          </w:tcPr>
          <w:p>
            <w:r/>
            <w:r>
              <w:rPr>
                <w:b/>
                <w:sz w:val="19"/>
              </w:rPr>
              <w:t>Requisito</w:t>
            </w:r>
          </w:p>
        </w:tc>
        <w:tc>
          <w:tcPr>
            <w:tcW w:type="dxa" w:w="4139"/>
            <w:shd w:val="clear" w:color="auto" w:fill="E8E5F7"/>
          </w:tcPr>
          <w:p>
            <w:r/>
            <w:r>
              <w:rPr>
                <w:b/>
                <w:sz w:val="19"/>
              </w:rPr>
              <w:t>Definición</w:t>
            </w:r>
          </w:p>
        </w:tc>
        <w:tc>
          <w:tcPr>
            <w:tcW w:type="dxa" w:w="3912"/>
            <w:shd w:val="clear" w:color="auto" w:fill="E8E5F7"/>
          </w:tcPr>
          <w:p>
            <w:r/>
            <w:r>
              <w:rPr>
                <w:b/>
                <w:sz w:val="19"/>
              </w:rPr>
              <w:t>Mecanismo en SIGMA</w:t>
            </w:r>
          </w:p>
        </w:tc>
      </w:tr>
      <w:tr>
        <w:tc>
          <w:tcPr>
            <w:tcW w:type="dxa" w:w="1587"/>
          </w:tcPr>
          <w:p>
            <w:r/>
            <w:r>
              <w:rPr>
                <w:b/>
                <w:sz w:val="19"/>
              </w:rPr>
              <w:t>RNF-01 — Contraseñas no reversibles</w:t>
            </w:r>
          </w:p>
        </w:tc>
        <w:tc>
          <w:tcPr>
            <w:tcW w:type="dxa" w:w="4139"/>
          </w:tcPr>
          <w:p>
            <w:r/>
            <w:r>
              <w:rPr>
                <w:sz w:val="18"/>
              </w:rPr>
              <w:t>Ninguna contraseña de usuario se almacena de forma que permita recuperar su valor original.</w:t>
            </w:r>
          </w:p>
        </w:tc>
        <w:tc>
          <w:tcPr>
            <w:tcW w:type="dxa" w:w="3912"/>
          </w:tcPr>
          <w:p>
            <w:r/>
            <w:r>
              <w:rPr>
                <w:sz w:val="18"/>
              </w:rPr>
              <w:t>Hash SHA2-256 con sal única por usuario (FNC_PASSWORD_HASH, BD/26). La migración de una clave antigua en texto plano es transparente: se acepta una vez, se le genera sal y se reemplaza por su hash en la misma llamada de login (BD/26); desde ahí el usuario siempre entra por hash.</w:t>
            </w:r>
          </w:p>
        </w:tc>
      </w:tr>
      <w:tr>
        <w:tc>
          <w:tcPr>
            <w:tcW w:type="dxa" w:w="1587"/>
          </w:tcPr>
          <w:p>
            <w:r/>
            <w:r>
              <w:rPr>
                <w:b/>
                <w:sz w:val="19"/>
              </w:rPr>
              <w:t>RNF-02 — Bloqueo por intentos fallidos</w:t>
            </w:r>
          </w:p>
        </w:tc>
        <w:tc>
          <w:tcPr>
            <w:tcW w:type="dxa" w:w="4139"/>
          </w:tcPr>
          <w:p>
            <w:r/>
            <w:r>
              <w:rPr>
                <w:sz w:val="18"/>
              </w:rPr>
              <w:t>El sistema bloquea una cuenta ante un número de intentos de acceso fallidos consecutivos, por un período definido.</w:t>
            </w:r>
          </w:p>
        </w:tc>
        <w:tc>
          <w:tcPr>
            <w:tcW w:type="dxa" w:w="3912"/>
          </w:tcPr>
          <w:p>
            <w:r/>
            <w:r>
              <w:rPr>
                <w:sz w:val="18"/>
              </w:rPr>
              <w:t>5 intentos fallidos en 15 minutos bloquean la cuenta (BD/229, @MAX_INTENTOS=5, @BLOQUEO_MIN=15); los contadores usu_intentos_fallidos y usu_primer_intento_fallido se resetean al entrar correctamente.</w:t>
            </w:r>
          </w:p>
        </w:tc>
      </w:tr>
      <w:tr>
        <w:tc>
          <w:tcPr>
            <w:tcW w:type="dxa" w:w="1587"/>
          </w:tcPr>
          <w:p>
            <w:r/>
            <w:r>
              <w:rPr>
                <w:b/>
                <w:sz w:val="19"/>
              </w:rPr>
              <w:t>RNF-03 — Política de contraseñas</w:t>
            </w:r>
          </w:p>
        </w:tc>
        <w:tc>
          <w:tcPr>
            <w:tcW w:type="dxa" w:w="4139"/>
          </w:tcPr>
          <w:p>
            <w:r/>
            <w:r>
              <w:rPr>
                <w:sz w:val="18"/>
              </w:rPr>
              <w:t>Una contraseña nueva cumple una longitud y complejidad mínimas y no repite las últimas contraseñas usadas.</w:t>
            </w:r>
          </w:p>
        </w:tc>
        <w:tc>
          <w:tcPr>
            <w:tcW w:type="dxa" w:w="3912"/>
          </w:tcPr>
          <w:p>
            <w:r/>
            <w:r>
              <w:rPr>
                <w:sz w:val="18"/>
              </w:rPr>
              <w:t>UPD_USUARIO_PASSWORD exige mínimo 8 caracteres con al menos un dígito y compara el hash de la nueva contraseña contra las 3 anteriores guardadas (BD/250).</w:t>
            </w:r>
          </w:p>
        </w:tc>
      </w:tr>
      <w:tr>
        <w:tc>
          <w:tcPr>
            <w:tcW w:type="dxa" w:w="1587"/>
          </w:tcPr>
          <w:p>
            <w:r/>
            <w:r>
              <w:rPr>
                <w:b/>
                <w:sz w:val="19"/>
              </w:rPr>
              <w:t>RNF-04 — Autenticación de la API por token con expiración</w:t>
            </w:r>
          </w:p>
        </w:tc>
        <w:tc>
          <w:tcPr>
            <w:tcW w:type="dxa" w:w="4139"/>
          </w:tcPr>
          <w:p>
            <w:r/>
            <w:r>
              <w:rPr>
                <w:sz w:val="18"/>
              </w:rPr>
              <w:t>Todo acceso a la API se autentica con un token de vida limitada, validado antes de que la petición llegue a la lógica de negocio.</w:t>
            </w:r>
          </w:p>
        </w:tc>
        <w:tc>
          <w:tcPr>
            <w:tcW w:type="dxa" w:w="3912"/>
          </w:tcPr>
          <w:p>
            <w:r/>
            <w:r>
              <w:rPr>
                <w:sz w:val="18"/>
              </w:rPr>
              <w:t>JWT Bearer validado por TokenValidationHandler (DelegatingHandler), que corre antes del enrutamiento — incluidos los endpoints anónimos, que viajan sin cabecera Authorization para que un token vencido no les impida responder (por ejemplo, POST /sesion).</w:t>
            </w:r>
          </w:p>
        </w:tc>
      </w:tr>
      <w:tr>
        <w:tc>
          <w:tcPr>
            <w:tcW w:type="dxa" w:w="1587"/>
          </w:tcPr>
          <w:p>
            <w:r/>
            <w:r>
              <w:rPr>
                <w:b/>
                <w:sz w:val="19"/>
              </w:rPr>
              <w:t>RNF-05 — Autorización en el servidor</w:t>
            </w:r>
          </w:p>
        </w:tc>
        <w:tc>
          <w:tcPr>
            <w:tcW w:type="dxa" w:w="4139"/>
          </w:tcPr>
          <w:p>
            <w:r/>
            <w:r>
              <w:rPr>
                <w:sz w:val="18"/>
              </w:rPr>
              <w:t>Los permisos de cada acción se validan en el servidor, nunca solo ocultando un control en la interfaz.</w:t>
            </w:r>
          </w:p>
        </w:tc>
        <w:tc>
          <w:tcPr>
            <w:tcW w:type="dxa" w:w="3912"/>
          </w:tcPr>
          <w:p>
            <w:r/>
            <w:r>
              <w:rPr>
                <w:sz w:val="18"/>
              </w:rPr>
              <w:t>Patrón único del proyecto: Token.Puede(codigo) / Token.ExigirPagina() en la web, [ExigirPermiso] en la API. Una pantalla existe solo si tiene fila en Menus — no hay lista de rutas protegidas aparte del dato.</w:t>
            </w:r>
          </w:p>
        </w:tc>
      </w:tr>
      <w:tr>
        <w:tc>
          <w:tcPr>
            <w:tcW w:type="dxa" w:w="1587"/>
          </w:tcPr>
          <w:p>
            <w:r/>
            <w:r>
              <w:rPr>
                <w:b/>
                <w:sz w:val="19"/>
              </w:rPr>
              <w:t>RNF-06 — Aislamiento entre clientes (multi-tenant)</w:t>
            </w:r>
          </w:p>
        </w:tc>
        <w:tc>
          <w:tcPr>
            <w:tcW w:type="dxa" w:w="4139"/>
          </w:tcPr>
          <w:p>
            <w:r/>
            <w:r>
              <w:rPr>
                <w:sz w:val="18"/>
              </w:rPr>
              <w:t>Ningún cliente puede acceder, directa o indirectamente, a los datos de otro cliente de la plataforma.</w:t>
            </w:r>
          </w:p>
        </w:tc>
        <w:tc>
          <w:tcPr>
            <w:tcW w:type="dxa" w:w="3912"/>
          </w:tcPr>
          <w:p>
            <w:r/>
            <w:r>
              <w:rPr>
                <w:sz w:val="18"/>
              </w:rPr>
              <w:t>Todo procedimiento de lectura filtra por @CLIENTE y toda tabla de negocio lleva su columna *_cliente; es el patrón obligatorio de PATRONES/ASP, presente en más de 1.000 filtros de los procedimientos de BD/.</w:t>
            </w:r>
          </w:p>
        </w:tc>
      </w:tr>
      <w:tr>
        <w:tc>
          <w:tcPr>
            <w:tcW w:type="dxa" w:w="1587"/>
          </w:tcPr>
          <w:p>
            <w:r/>
            <w:r>
              <w:rPr>
                <w:b/>
                <w:sz w:val="19"/>
              </w:rPr>
              <w:t>RNF-07 — Suscripción como condición de acceso</w:t>
            </w:r>
          </w:p>
        </w:tc>
        <w:tc>
          <w:tcPr>
            <w:tcW w:type="dxa" w:w="4139"/>
          </w:tcPr>
          <w:p>
            <w:r/>
            <w:r>
              <w:rPr>
                <w:sz w:val="18"/>
              </w:rPr>
              <w:t>Un cliente sin suscripción vigente no puede ejecutar operaciones de negocio, aunque su sesión siga activa.</w:t>
            </w:r>
          </w:p>
        </w:tc>
        <w:tc>
          <w:tcPr>
            <w:tcW w:type="dxa" w:w="3912"/>
          </w:tcPr>
          <w:p>
            <w:r/>
            <w:r>
              <w:rPr>
                <w:sz w:val="18"/>
              </w:rPr>
              <w:t>SuscripcionVigenteHandler corta la petición con 402 si FNC_SUSCRIPCION_VIGENTE(@CLIENTE) da falso, antes de llegar al controlador (HU-193); el login se mantiene disponible para que el cliente vea su estado de cuenta.</w:t>
            </w:r>
          </w:p>
        </w:tc>
      </w:tr>
      <w:tr>
        <w:tc>
          <w:tcPr>
            <w:tcW w:type="dxa" w:w="1587"/>
          </w:tcPr>
          <w:p>
            <w:r/>
            <w:r>
              <w:rPr>
                <w:b/>
                <w:sz w:val="19"/>
              </w:rPr>
              <w:t>RNF-08 — Tráfico cifrado entre cliente y servidor</w:t>
            </w:r>
          </w:p>
        </w:tc>
        <w:tc>
          <w:tcPr>
            <w:tcW w:type="dxa" w:w="4139"/>
          </w:tcPr>
          <w:p>
            <w:r/>
            <w:r>
              <w:rPr>
                <w:sz w:val="18"/>
              </w:rPr>
              <w:t>Las comunicaciones entre la aplicación (web y móvil) y la API viajan cifradas con TLS/HTTPS.</w:t>
            </w:r>
          </w:p>
        </w:tc>
        <w:tc>
          <w:tcPr>
            <w:tcW w:type="dxa" w:w="3912"/>
          </w:tcPr>
          <w:p>
            <w:r/>
            <w:r>
              <w:rPr>
                <w:sz w:val="18"/>
              </w:rPr>
              <w:t>La conexión entre la API y SQL Server ya viaja cifrada (Encrypt=True en la cadena de conexión). La publicación de la API con certificado HTTPS para el tráfico con la aplicación móvil se concentra en el Sprint 6, junto con el resto de la infraestructura externa del proyecto (SMTP, almacenamiento, Google Maps, notificaciones push), por decisión de la Sprint Review 1.</w:t>
            </w:r>
          </w:p>
        </w:tc>
      </w:tr>
      <w:tr>
        <w:tc>
          <w:tcPr>
            <w:tcW w:type="dxa" w:w="1587"/>
          </w:tcPr>
          <w:p>
            <w:r/>
            <w:r>
              <w:rPr>
                <w:b/>
                <w:sz w:val="19"/>
              </w:rPr>
              <w:t>RNF-09 — Gestión de credenciales de la aplicación</w:t>
            </w:r>
          </w:p>
        </w:tc>
        <w:tc>
          <w:tcPr>
            <w:tcW w:type="dxa" w:w="4139"/>
          </w:tcPr>
          <w:p>
            <w:r/>
            <w:r>
              <w:rPr>
                <w:sz w:val="18"/>
              </w:rPr>
              <w:t>Las credenciales de acceso a los servicios (base de datos, claves de cifrado) no se exponen en el código fuente versionado ni en texto plano accesible.</w:t>
            </w:r>
          </w:p>
        </w:tc>
        <w:tc>
          <w:tcPr>
            <w:tcW w:type="dxa" w:w="3912"/>
          </w:tcPr>
          <w:p>
            <w:r/>
            <w:r>
              <w:rPr>
                <w:sz w:val="18"/>
              </w:rPr>
              <w:t>Las credenciales viven hoy en Web.config, fuera del control de versiones del repositorio aplicativo. El proyecto define mover su lectura a variables de entorno o a un gestor de secretos como parte de la preparación para producción.</w:t>
            </w:r>
          </w:p>
        </w:tc>
      </w:tr>
      <w:tr>
        <w:tc>
          <w:tcPr>
            <w:tcW w:type="dxa" w:w="1587"/>
          </w:tcPr>
          <w:p>
            <w:r/>
            <w:r>
              <w:rPr>
                <w:b/>
                <w:sz w:val="19"/>
              </w:rPr>
              <w:t>RNF-10 — Protección de identificadores en la interfaz</w:t>
            </w:r>
          </w:p>
        </w:tc>
        <w:tc>
          <w:tcPr>
            <w:tcW w:type="dxa" w:w="4139"/>
          </w:tcPr>
          <w:p>
            <w:r/>
            <w:r>
              <w:rPr>
                <w:sz w:val="18"/>
              </w:rPr>
              <w:t>Los identificadores de registro que viajan en la URL no deben ser predecibles ni secuenciales, para no facilitar su enumeración.</w:t>
            </w:r>
          </w:p>
        </w:tc>
        <w:tc>
          <w:tcPr>
            <w:tcW w:type="dxa" w:w="3912"/>
          </w:tcPr>
          <w:p>
            <w:r/>
            <w:r>
              <w:rPr>
                <w:sz w:val="18"/>
              </w:rPr>
              <w:t>El identificador se codifica en Base64 antes de viajar en la URL (Tools.Crypto.Encrypt/Decrypt, usado en 80 archivos); la autorización real del dato ocurre después, en el servidor (RNF-05). El proyecto cuenta además con un cifrado AES-256/Rijndael (Crypto.encripta/desencriptar) para reforzar este punto si el dato lo amerita.</w:t>
            </w:r>
          </w:p>
        </w:tc>
      </w:tr>
    </w:tbl>
    <w:p>
      <w:pPr>
        <w:spacing w:after="40"/>
      </w:pPr>
    </w:p>
    <w:p>
      <w:pPr>
        <w:pStyle w:val="Heading1"/>
      </w:pPr>
      <w:r>
        <w:t>3. Rendimiento</w:t>
      </w:r>
    </w:p>
    <w:p>
      <w:pPr>
        <w:spacing w:after="120"/>
      </w:pPr>
      <w:r>
        <w:rPr>
          <w:b w:val="0"/>
          <w:i w:val="0"/>
          <w:sz w:val="22"/>
        </w:rPr>
        <w:t>El rendimiento de SIGMA se define en dos planos: el tiempo de respuesta de las consultas a la base de datos, y el peso de la página web, que depende directamente de los controles Telerik que use cada pantalla.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587"/>
            <w:shd w:val="clear" w:color="auto" w:fill="E8E5F7"/>
          </w:tcPr>
          <w:p>
            <w:r/>
            <w:r>
              <w:rPr>
                <w:b/>
                <w:sz w:val="19"/>
              </w:rPr>
              <w:t>Requisito</w:t>
            </w:r>
          </w:p>
        </w:tc>
        <w:tc>
          <w:tcPr>
            <w:tcW w:type="dxa" w:w="4139"/>
            <w:shd w:val="clear" w:color="auto" w:fill="E8E5F7"/>
          </w:tcPr>
          <w:p>
            <w:r/>
            <w:r>
              <w:rPr>
                <w:b/>
                <w:sz w:val="19"/>
              </w:rPr>
              <w:t>Definición</w:t>
            </w:r>
          </w:p>
        </w:tc>
        <w:tc>
          <w:tcPr>
            <w:tcW w:type="dxa" w:w="3912"/>
            <w:shd w:val="clear" w:color="auto" w:fill="E8E5F7"/>
          </w:tcPr>
          <w:p>
            <w:r/>
            <w:r>
              <w:rPr>
                <w:b/>
                <w:sz w:val="19"/>
              </w:rPr>
              <w:t>Mecanismo en SIGMA</w:t>
            </w:r>
          </w:p>
        </w:tc>
      </w:tr>
      <w:tr>
        <w:tc>
          <w:tcPr>
            <w:tcW w:type="dxa" w:w="1587"/>
          </w:tcPr>
          <w:p>
            <w:r/>
            <w:r>
              <w:rPr>
                <w:b/>
                <w:sz w:val="19"/>
              </w:rPr>
              <w:t>RNF-11 — Consultas sin recorrido completo de tabla (SARGable)</w:t>
            </w:r>
          </w:p>
        </w:tc>
        <w:tc>
          <w:tcPr>
            <w:tcW w:type="dxa" w:w="4139"/>
          </w:tcPr>
          <w:p>
            <w:r/>
            <w:r>
              <w:rPr>
                <w:sz w:val="18"/>
              </w:rPr>
              <w:t>Toda consulta de listado o búsqueda usa índices y parámetros, sin barrer la tabla completa ni armar SQL por concatenación de texto del usuario.</w:t>
            </w:r>
          </w:p>
        </w:tc>
        <w:tc>
          <w:tcPr>
            <w:tcW w:type="dxa" w:w="3912"/>
          </w:tcPr>
          <w:p>
            <w:r/>
            <w:r>
              <w:rPr>
                <w:sz w:val="18"/>
              </w:rPr>
              <w:t>Patrón PATRONES/ASP: todo procedimiento de listado usa parámetros con ORDER BY estable y LIKE sobre columnas indexadas cuando filtra texto; 205 índices creados en BD/ junto a las tablas que soportan.</w:t>
            </w:r>
          </w:p>
        </w:tc>
      </w:tr>
      <w:tr>
        <w:tc>
          <w:tcPr>
            <w:tcW w:type="dxa" w:w="1587"/>
          </w:tcPr>
          <w:p>
            <w:r/>
            <w:r>
              <w:rPr>
                <w:b/>
                <w:sz w:val="19"/>
              </w:rPr>
              <w:t>RNF-12 — Paginación en el servidor</w:t>
            </w:r>
          </w:p>
        </w:tc>
        <w:tc>
          <w:tcPr>
            <w:tcW w:type="dxa" w:w="4139"/>
          </w:tcPr>
          <w:p>
            <w:r/>
            <w:r>
              <w:rPr>
                <w:sz w:val="18"/>
              </w:rPr>
              <w:t>Un listado que puede crecer se pagina en el servidor; nunca se trae completo para filtrarlo en el navegador.</w:t>
            </w:r>
          </w:p>
        </w:tc>
        <w:tc>
          <w:tcPr>
            <w:tcW w:type="dxa" w:w="3912"/>
          </w:tcPr>
          <w:p>
            <w:r/>
            <w:r>
              <w:rPr>
                <w:sz w:val="18"/>
              </w:rPr>
              <w:t>70 procedimientos reciben @PAGINA y @TAMANO y devuelven solo esa página con OFFSET/FETCH o ROW_NUMBER. Es el criterio explícito de Planificación 360 (filtrar y paginar en el servidor, nunca en el cliente).</w:t>
            </w:r>
          </w:p>
        </w:tc>
      </w:tr>
      <w:tr>
        <w:tc>
          <w:tcPr>
            <w:tcW w:type="dxa" w:w="1587"/>
          </w:tcPr>
          <w:p>
            <w:r/>
            <w:r>
              <w:rPr>
                <w:b/>
                <w:sz w:val="19"/>
              </w:rPr>
              <w:t>RNF-13 — Caché de consultas repetidas</w:t>
            </w:r>
          </w:p>
        </w:tc>
        <w:tc>
          <w:tcPr>
            <w:tcW w:type="dxa" w:w="4139"/>
          </w:tcPr>
          <w:p>
            <w:r/>
            <w:r>
              <w:rPr>
                <w:sz w:val="18"/>
              </w:rPr>
              <w:t>Una consulta de referencia que se repite en una ventana corta de tiempo no vuelve a tocar la base en cada petición.</w:t>
            </w:r>
          </w:p>
        </w:tc>
        <w:tc>
          <w:tcPr>
            <w:tcW w:type="dxa" w:w="3912"/>
          </w:tcPr>
          <w:p>
            <w:r/>
            <w:r>
              <w:rPr>
                <w:sz w:val="18"/>
              </w:rPr>
              <w:t>CacheCorta.Obtener&lt;T&gt;() guarda el resultado 60 segundos en el caché de ASP.NET, usado en catálogos y listados de referencia; nunca cachea null, para que un tropiezo momentáneo de la base no quede fijado un minuto.</w:t>
            </w:r>
          </w:p>
        </w:tc>
      </w:tr>
      <w:tr>
        <w:tc>
          <w:tcPr>
            <w:tcW w:type="dxa" w:w="1587"/>
          </w:tcPr>
          <w:p>
            <w:r/>
            <w:r>
              <w:rPr>
                <w:b/>
                <w:sz w:val="19"/>
              </w:rPr>
              <w:t>RNF-14 — Presupuesto de peso de página (ViewState y DOM)</w:t>
            </w:r>
          </w:p>
        </w:tc>
        <w:tc>
          <w:tcPr>
            <w:tcW w:type="dxa" w:w="4139"/>
          </w:tcPr>
          <w:p>
            <w:r/>
            <w:r>
              <w:rPr>
                <w:sz w:val="18"/>
              </w:rPr>
              <w:t>Cada pantalla web tiene un límite declarado de ViewState y de nodos DOM, y se construye con pestañas resueltas en el navegador y datos cargados bajo demanda, no con grillas pesadas cargadas por completo.</w:t>
            </w:r>
          </w:p>
        </w:tc>
        <w:tc>
          <w:tcPr>
            <w:tcW w:type="dxa" w:w="3912"/>
          </w:tcPr>
          <w:p>
            <w:r/>
            <w:r>
              <w:rPr>
                <w:sz w:val="18"/>
              </w:rPr>
              <w:t>El análisis de viabilidad de Centro de Mantenimiento (26-09-2026) definió el presupuesto a partir de la medición de las pantallas existentes (Programaciones, 80 KB de ViewState); Planificación 360 y los Centros 360 se construyeron bajo ese presupuesto —menos de 10 KB de ViewState y menos de 1.000 nodos DOM—, sin RadGrid2 ni UpdatePanel, con WebMethod para las pestañas.</w:t>
            </w:r>
          </w:p>
        </w:tc>
      </w:tr>
      <w:tr>
        <w:tc>
          <w:tcPr>
            <w:tcW w:type="dxa" w:w="1587"/>
          </w:tcPr>
          <w:p>
            <w:r/>
            <w:r>
              <w:rPr>
                <w:b/>
                <w:sz w:val="19"/>
              </w:rPr>
              <w:t>RNF-15 — Umbral de tiempo de respuesta de la API</w:t>
            </w:r>
          </w:p>
        </w:tc>
        <w:tc>
          <w:tcPr>
            <w:tcW w:type="dxa" w:w="4139"/>
          </w:tcPr>
          <w:p>
            <w:r/>
            <w:r>
              <w:rPr>
                <w:sz w:val="18"/>
              </w:rPr>
              <w:t>Los endpoints de lectura de la API responden dentro de un umbral definido bajo carga concurrente.</w:t>
            </w:r>
          </w:p>
        </w:tc>
        <w:tc>
          <w:tcPr>
            <w:tcW w:type="dxa" w:w="3912"/>
          </w:tcPr>
          <w:p>
            <w:r/>
            <w:r>
              <w:rPr>
                <w:sz w:val="18"/>
              </w:rPr>
              <w:t>El umbral (p95 por debajo de un valor objetivo) se fija y se mide con una herramienta de carga (k6, Apache Bench o JMeter) contra el ambiente de pruebas, como parte de la preparación para producción.</w:t>
            </w:r>
          </w:p>
        </w:tc>
      </w:tr>
    </w:tbl>
    <w:p>
      <w:pPr>
        <w:spacing w:after="40"/>
      </w:pPr>
    </w:p>
    <w:p>
      <w:pPr>
        <w:pStyle w:val="Heading1"/>
      </w:pPr>
      <w:r>
        <w:t>4. Escalabilidad</w:t>
      </w:r>
    </w:p>
    <w:p>
      <w:pPr>
        <w:spacing w:after="120"/>
      </w:pPr>
      <w:r>
        <w:rPr>
          <w:b w:val="0"/>
          <w:i w:val="0"/>
          <w:sz w:val="22"/>
        </w:rPr>
        <w:t>SIGMA está diseñado para más de una planta y más de un cliente desde el modelo de datos, no como una extensión posterior sobre una base pensada para uno solo.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587"/>
            <w:shd w:val="clear" w:color="auto" w:fill="E8E5F7"/>
          </w:tcPr>
          <w:p>
            <w:r/>
            <w:r>
              <w:rPr>
                <w:b/>
                <w:sz w:val="19"/>
              </w:rPr>
              <w:t>Requisito</w:t>
            </w:r>
          </w:p>
        </w:tc>
        <w:tc>
          <w:tcPr>
            <w:tcW w:type="dxa" w:w="4139"/>
            <w:shd w:val="clear" w:color="auto" w:fill="E8E5F7"/>
          </w:tcPr>
          <w:p>
            <w:r/>
            <w:r>
              <w:rPr>
                <w:b/>
                <w:sz w:val="19"/>
              </w:rPr>
              <w:t>Definición</w:t>
            </w:r>
          </w:p>
        </w:tc>
        <w:tc>
          <w:tcPr>
            <w:tcW w:type="dxa" w:w="3912"/>
            <w:shd w:val="clear" w:color="auto" w:fill="E8E5F7"/>
          </w:tcPr>
          <w:p>
            <w:r/>
            <w:r>
              <w:rPr>
                <w:b/>
                <w:sz w:val="19"/>
              </w:rPr>
              <w:t>Mecanismo en SIGMA</w:t>
            </w:r>
          </w:p>
        </w:tc>
      </w:tr>
      <w:tr>
        <w:tc>
          <w:tcPr>
            <w:tcW w:type="dxa" w:w="1587"/>
          </w:tcPr>
          <w:p>
            <w:r/>
            <w:r>
              <w:rPr>
                <w:b/>
                <w:sz w:val="19"/>
              </w:rPr>
              <w:t>RNF-16 — Modelo de datos multicliente y multiplanta</w:t>
            </w:r>
          </w:p>
        </w:tc>
        <w:tc>
          <w:tcPr>
            <w:tcW w:type="dxa" w:w="4139"/>
          </w:tcPr>
          <w:p>
            <w:r/>
            <w:r>
              <w:rPr>
                <w:sz w:val="18"/>
              </w:rPr>
              <w:t>Incorporar un cliente o una planta nueva es una operación de datos, no un despliegue de infraestructura nueva.</w:t>
            </w:r>
          </w:p>
        </w:tc>
        <w:tc>
          <w:tcPr>
            <w:tcW w:type="dxa" w:w="3912"/>
          </w:tcPr>
          <w:p>
            <w:r/>
            <w:r>
              <w:rPr>
                <w:sz w:val="18"/>
              </w:rPr>
              <w:t>Toda tabla de negocio tiene su columna *_cliente y las que corresponden, su *_cliente_instalacion (planta); no existe una base de datos separada por cliente. Un cliente nuevo es una fila en Cliente.</w:t>
            </w:r>
          </w:p>
        </w:tc>
      </w:tr>
      <w:tr>
        <w:tc>
          <w:tcPr>
            <w:tcW w:type="dxa" w:w="1587"/>
          </w:tcPr>
          <w:p>
            <w:r/>
            <w:r>
              <w:rPr>
                <w:b/>
                <w:sz w:val="19"/>
              </w:rPr>
              <w:t>RNF-17 — Catálogos ampliables sin desplegar código</w:t>
            </w:r>
          </w:p>
        </w:tc>
        <w:tc>
          <w:tcPr>
            <w:tcW w:type="dxa" w:w="4139"/>
          </w:tcPr>
          <w:p>
            <w:r/>
            <w:r>
              <w:rPr>
                <w:sz w:val="18"/>
              </w:rPr>
              <w:t>Un cliente puede agregar valores propios a sus catálogos (tipos, categorías) sin que el equipo de desarrollo intervenga.</w:t>
            </w:r>
          </w:p>
        </w:tc>
        <w:tc>
          <w:tcPr>
            <w:tcW w:type="dxa" w:w="3912"/>
          </w:tcPr>
          <w:p>
            <w:r/>
            <w:r>
              <w:rPr>
                <w:sz w:val="18"/>
              </w:rPr>
              <w:t>HU-021: los valores de catálogo se agregan por cliente desde la web y el sistema los lee de la base, no de una lista fija en el código.</w:t>
            </w:r>
          </w:p>
        </w:tc>
      </w:tr>
      <w:tr>
        <w:tc>
          <w:tcPr>
            <w:tcW w:type="dxa" w:w="1587"/>
          </w:tcPr>
          <w:p>
            <w:r/>
            <w:r>
              <w:rPr>
                <w:b/>
                <w:sz w:val="19"/>
              </w:rPr>
              <w:t>RNF-18 — Motor único de recurrencia para múltiples consumidores</w:t>
            </w:r>
          </w:p>
        </w:tc>
        <w:tc>
          <w:tcPr>
            <w:tcW w:type="dxa" w:w="4139"/>
          </w:tcPr>
          <w:p>
            <w:r/>
            <w:r>
              <w:rPr>
                <w:sz w:val="18"/>
              </w:rPr>
              <w:t>Una misma regla de recurrencia (programación) puede ser usada por distintos módulos sin duplicar su lógica de cálculo.</w:t>
            </w:r>
          </w:p>
        </w:tc>
        <w:tc>
          <w:tcPr>
            <w:tcW w:type="dxa" w:w="3912"/>
          </w:tcPr>
          <w:p>
            <w:r/>
            <w:r>
              <w:rPr>
                <w:sz w:val="18"/>
              </w:rPr>
              <w:t>Programacion es una sola tabla que usan los planes de mantenimiento, los checklists y las tareas recurrentes (HU-070 a HU-077); agregar un consumidor nuevo no duplica el motor, solo agrega una referencia a una Programacion existente.</w:t>
            </w:r>
          </w:p>
        </w:tc>
      </w:tr>
      <w:tr>
        <w:tc>
          <w:tcPr>
            <w:tcW w:type="dxa" w:w="1587"/>
          </w:tcPr>
          <w:p>
            <w:r/>
            <w:r>
              <w:rPr>
                <w:b/>
                <w:sz w:val="19"/>
              </w:rPr>
              <w:t>RNF-19 — Rendimiento con volumen de producción</w:t>
            </w:r>
          </w:p>
        </w:tc>
        <w:tc>
          <w:tcPr>
            <w:tcW w:type="dxa" w:w="4139"/>
          </w:tcPr>
          <w:p>
            <w:r/>
            <w:r>
              <w:rPr>
                <w:sz w:val="18"/>
              </w:rPr>
              <w:t>El sistema mantiene su tiempo de respuesta al crecer el volumen de datos a la escala real del cliente (número de activos, órdenes por mes, plantas).</w:t>
            </w:r>
          </w:p>
        </w:tc>
        <w:tc>
          <w:tcPr>
            <w:tcW w:type="dxa" w:w="3912"/>
          </w:tcPr>
          <w:p>
            <w:r/>
            <w:r>
              <w:rPr>
                <w:sz w:val="18"/>
              </w:rPr>
              <w:t>Se ejecuta una prueba de carga con datos sintéticos a la escala declarada por Hamburgo S.A., como parte de la preparación para la puesta en marcha, sobre la misma base de índices y paginación de las secciones 2 y 3.</w:t>
            </w:r>
          </w:p>
        </w:tc>
      </w:tr>
    </w:tbl>
    <w:p>
      <w:pPr>
        <w:spacing w:after="40"/>
      </w:pPr>
    </w:p>
    <w:p>
      <w:pPr>
        <w:pStyle w:val="Heading1"/>
      </w:pPr>
      <w:r>
        <w:t>5. Disponibilidad</w:t>
      </w:r>
    </w:p>
    <w:p>
      <w:pPr>
        <w:spacing w:after="120"/>
      </w:pPr>
      <w:r>
        <w:rPr>
          <w:b w:val="0"/>
          <w:i w:val="0"/>
          <w:sz w:val="22"/>
        </w:rPr>
        <w:t>La disponibilidad de SIGMA se apoya en que un error no deje el sistema en un estado a medias, y en que los errores queden registrados para poder diagnosticarlos sin depender de que alguien los haya visto en pantalla.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587"/>
            <w:shd w:val="clear" w:color="auto" w:fill="E8E5F7"/>
          </w:tcPr>
          <w:p>
            <w:r/>
            <w:r>
              <w:rPr>
                <w:b/>
                <w:sz w:val="19"/>
              </w:rPr>
              <w:t>Requisito</w:t>
            </w:r>
          </w:p>
        </w:tc>
        <w:tc>
          <w:tcPr>
            <w:tcW w:type="dxa" w:w="4139"/>
            <w:shd w:val="clear" w:color="auto" w:fill="E8E5F7"/>
          </w:tcPr>
          <w:p>
            <w:r/>
            <w:r>
              <w:rPr>
                <w:b/>
                <w:sz w:val="19"/>
              </w:rPr>
              <w:t>Definición</w:t>
            </w:r>
          </w:p>
        </w:tc>
        <w:tc>
          <w:tcPr>
            <w:tcW w:type="dxa" w:w="3912"/>
            <w:shd w:val="clear" w:color="auto" w:fill="E8E5F7"/>
          </w:tcPr>
          <w:p>
            <w:r/>
            <w:r>
              <w:rPr>
                <w:b/>
                <w:sz w:val="19"/>
              </w:rPr>
              <w:t>Mecanismo en SIGMA</w:t>
            </w:r>
          </w:p>
        </w:tc>
      </w:tr>
      <w:tr>
        <w:tc>
          <w:tcPr>
            <w:tcW w:type="dxa" w:w="1587"/>
          </w:tcPr>
          <w:p>
            <w:r/>
            <w:r>
              <w:rPr>
                <w:b/>
                <w:sz w:val="19"/>
              </w:rPr>
              <w:t>RNF-20 — Atomicidad de las escrituras compuestas</w:t>
            </w:r>
          </w:p>
        </w:tc>
        <w:tc>
          <w:tcPr>
            <w:tcW w:type="dxa" w:w="4139"/>
          </w:tcPr>
          <w:p>
            <w:r/>
            <w:r>
              <w:rPr>
                <w:sz w:val="18"/>
              </w:rPr>
              <w:t>Una operación que modifica más de una tabla relacionada se completa entera o no se aplica ninguna de sus partes.</w:t>
            </w:r>
          </w:p>
        </w:tc>
        <w:tc>
          <w:tcPr>
            <w:tcW w:type="dxa" w:w="3912"/>
          </w:tcPr>
          <w:p>
            <w:r/>
            <w:r>
              <w:rPr>
                <w:sz w:val="18"/>
              </w:rPr>
              <w:t>123 procedimientos de BD/ usan BEGIN TRANSACTION con SET XACT_ABORT ON; cualquier error dentro revierte todo el bloque. Es criterio explícito de revisión de código del equipo, a partir de un caso real de inventario (encabezado y detalle de un ajuste).</w:t>
            </w:r>
          </w:p>
        </w:tc>
      </w:tr>
      <w:tr>
        <w:tc>
          <w:tcPr>
            <w:tcW w:type="dxa" w:w="1587"/>
          </w:tcPr>
          <w:p>
            <w:r/>
            <w:r>
              <w:rPr>
                <w:b/>
                <w:sz w:val="19"/>
              </w:rPr>
              <w:t>RNF-21 — Registro de errores no controlados</w:t>
            </w:r>
          </w:p>
        </w:tc>
        <w:tc>
          <w:tcPr>
            <w:tcW w:type="dxa" w:w="4139"/>
          </w:tcPr>
          <w:p>
            <w:r/>
            <w:r>
              <w:rPr>
                <w:sz w:val="18"/>
              </w:rPr>
              <w:t>Todo error no controlado queda registrado con su contexto, no solo mostrado en pantalla al usuario.</w:t>
            </w:r>
          </w:p>
        </w:tc>
        <w:tc>
          <w:tcPr>
            <w:tcW w:type="dxa" w:w="3912"/>
          </w:tcPr>
          <w:p>
            <w:r/>
            <w:r>
              <w:rPr>
                <w:sz w:val="18"/>
              </w:rPr>
              <w:t>INS_EXCEPCION se invoca desde 55 archivos de BD/ en los bloques CATCH; guarda el mensaje y el contexto de la llamada que falló.</w:t>
            </w:r>
          </w:p>
        </w:tc>
      </w:tr>
      <w:tr>
        <w:tc>
          <w:tcPr>
            <w:tcW w:type="dxa" w:w="1587"/>
          </w:tcPr>
          <w:p>
            <w:r/>
            <w:r>
              <w:rPr>
                <w:b/>
                <w:sz w:val="19"/>
              </w:rPr>
              <w:t>RNF-22 — Degradación controlada ante un servicio externo caído</w:t>
            </w:r>
          </w:p>
        </w:tc>
        <w:tc>
          <w:tcPr>
            <w:tcW w:type="dxa" w:w="4139"/>
          </w:tcPr>
          <w:p>
            <w:r/>
            <w:r>
              <w:rPr>
                <w:sz w:val="18"/>
              </w:rPr>
              <w:t>Si un servicio externo (correo, almacenamiento de archivos, mapas, notificaciones) no está disponible, el resto del sistema sigue funcionando.</w:t>
            </w:r>
          </w:p>
        </w:tc>
        <w:tc>
          <w:tcPr>
            <w:tcW w:type="dxa" w:w="3912"/>
          </w:tcPr>
          <w:p>
            <w:r/>
            <w:r>
              <w:rPr>
                <w:sz w:val="18"/>
              </w:rPr>
              <w:t>Acuerdo de equipo: un criterio que depende de un servicio externo sin proveer no bloquea la historia — la pantalla muestra el aviso correspondiente y el resto opera con normalidad. Ejemplo: el formulario de recuperar contraseña (HU-004) funciona completo aunque el correo no salga por falta de configuración del SMTP.</w:t>
            </w:r>
          </w:p>
        </w:tc>
      </w:tr>
      <w:tr>
        <w:tc>
          <w:tcPr>
            <w:tcW w:type="dxa" w:w="1587"/>
          </w:tcPr>
          <w:p>
            <w:r/>
            <w:r>
              <w:rPr>
                <w:b/>
                <w:sz w:val="19"/>
              </w:rPr>
              <w:t>RNF-23 — Continuidad del trabajo sin conexión (aplicación móvil)</w:t>
            </w:r>
          </w:p>
        </w:tc>
        <w:tc>
          <w:tcPr>
            <w:tcW w:type="dxa" w:w="4139"/>
          </w:tcPr>
          <w:p>
            <w:r/>
            <w:r>
              <w:rPr>
                <w:sz w:val="18"/>
              </w:rPr>
              <w:t>Un técnico en terreno sin señal puede seguir registrando su trabajo, y ese trabajo se sincroniza sin duplicarse ni perderse al recuperar la conexión.</w:t>
            </w:r>
          </w:p>
        </w:tc>
        <w:tc>
          <w:tcPr>
            <w:tcW w:type="dxa" w:w="3912"/>
          </w:tcPr>
          <w:p>
            <w:r/>
            <w:r>
              <w:rPr>
                <w:sz w:val="18"/>
              </w:rPr>
              <w:t>El diseño guarda en SQLite local primero y encola el envío, con reintento ante corte de red a medias; la idempotencia por uuid que sostiene esta garantía ya está construida en varios endpoints de sincronización del lado servidor.</w:t>
            </w:r>
          </w:p>
        </w:tc>
      </w:tr>
      <w:tr>
        <w:tc>
          <w:tcPr>
            <w:tcW w:type="dxa" w:w="1587"/>
          </w:tcPr>
          <w:p>
            <w:r/>
            <w:r>
              <w:rPr>
                <w:b/>
                <w:sz w:val="19"/>
              </w:rPr>
              <w:t>RNF-24 — Continuidad de los datos (respaldo y recuperación)</w:t>
            </w:r>
          </w:p>
        </w:tc>
        <w:tc>
          <w:tcPr>
            <w:tcW w:type="dxa" w:w="4139"/>
          </w:tcPr>
          <w:p>
            <w:r/>
            <w:r>
              <w:rPr>
                <w:sz w:val="18"/>
              </w:rPr>
              <w:t>La base de datos de SIGMA se respalda con una frecuencia definida y el respaldo se puede restaurar en caso de pérdida.</w:t>
            </w:r>
          </w:p>
        </w:tc>
        <w:tc>
          <w:tcPr>
            <w:tcW w:type="dxa" w:w="3912"/>
          </w:tcPr>
          <w:p>
            <w:r/>
            <w:r>
              <w:rPr>
                <w:sz w:val="18"/>
              </w:rPr>
              <w:t>La política de respaldo (frecuencia, retención, prueba de restauración) se acuerda con el proveedor de hosting del cliente como parte de la preparación para la puesta en marcha.</w:t>
            </w:r>
          </w:p>
        </w:tc>
      </w:tr>
    </w:tbl>
    <w:p>
      <w:pPr>
        <w:spacing w:after="40"/>
      </w:pPr>
    </w:p>
    <w:p>
      <w:pPr>
        <w:pStyle w:val="Heading1"/>
      </w:pPr>
      <w:r>
        <w:t>6. Marco legal chileno e ISO/IEC 27001</w:t>
      </w:r>
    </w:p>
    <w:p>
      <w:pPr>
        <w:spacing w:after="120"/>
      </w:pPr>
      <w:r>
        <w:rPr>
          <w:b w:val="0"/>
          <w:i w:val="0"/>
          <w:sz w:val="22"/>
        </w:rPr>
        <w:t>SIGMA procesa datos personales de trabajadores (usuarios del cliente, técnicos) y opera sobre infraestructura industrial de Hamburgo S.A., así que además de los requisitos técnicos de las secciones 2 a 5, el proyecto se define bajo la normativa chilena de datos personales y los controles de un sistema de gestión de seguridad de la información (SGSI) alineado a ISO/IEC 27001. SIGMA no está certificado ISO/IEC 27001 —es un proyecto académico con un cliente piloto, no una organización certificable por sí sola—; el equipo diseña y construye el sistema conforme a los controles del Anexo A que le corresponden como desarrollador de software.</w:t>
      </w:r>
    </w:p>
    <w:p>
      <w:pPr>
        <w:pStyle w:val="Heading2"/>
      </w:pPr>
      <w:r>
        <w:t>6.1 Marco legal aplicable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721"/>
            <w:shd w:val="clear" w:color="auto" w:fill="E8E5F7"/>
          </w:tcPr>
          <w:p>
            <w:r/>
            <w:r>
              <w:rPr>
                <w:b/>
                <w:sz w:val="19"/>
              </w:rPr>
              <w:t>Norma</w:t>
            </w:r>
          </w:p>
        </w:tc>
        <w:tc>
          <w:tcPr>
            <w:tcW w:type="dxa" w:w="3515"/>
            <w:shd w:val="clear" w:color="auto" w:fill="E8E5F7"/>
          </w:tcPr>
          <w:p>
            <w:r/>
            <w:r>
              <w:rPr>
                <w:b/>
                <w:sz w:val="19"/>
              </w:rPr>
              <w:t>Qué exige</w:t>
            </w:r>
          </w:p>
        </w:tc>
        <w:tc>
          <w:tcPr>
            <w:tcW w:type="dxa" w:w="3969"/>
            <w:shd w:val="clear" w:color="auto" w:fill="E8E5F7"/>
          </w:tcPr>
          <w:p>
            <w:r/>
            <w:r>
              <w:rPr>
                <w:b/>
                <w:sz w:val="19"/>
              </w:rPr>
              <w:t>Cómo lo resuelve SIGMA</w:t>
            </w:r>
          </w:p>
        </w:tc>
      </w:tr>
      <w:tr>
        <w:tc>
          <w:tcPr>
            <w:tcW w:type="dxa" w:w="2721"/>
          </w:tcPr>
          <w:p>
            <w:r/>
            <w:r>
              <w:rPr>
                <w:sz w:val="19"/>
              </w:rPr>
              <w:t>Ley N.º 21.719 (Protección de Datos Personales, Chile; reemplaza progresivamente a la Ley 19.628)</w:t>
            </w:r>
          </w:p>
        </w:tc>
        <w:tc>
          <w:tcPr>
            <w:tcW w:type="dxa" w:w="3515"/>
          </w:tcPr>
          <w:p>
            <w:r/>
            <w:r>
              <w:rPr>
                <w:sz w:val="19"/>
              </w:rPr>
              <w:t>Principios de licitud, finalidad, proporcionalidad y seguridad del dato; deber de informar brechas; derechos de la persona titular (acceso, rectificación, cancelación, oposición y portabilidad).</w:t>
            </w:r>
          </w:p>
        </w:tc>
        <w:tc>
          <w:tcPr>
            <w:tcW w:type="dxa" w:w="3969"/>
          </w:tcPr>
          <w:p>
            <w:r/>
            <w:r>
              <w:rPr>
                <w:sz w:val="19"/>
              </w:rPr>
              <w:t>El dato de cada usuario se usa solo para operar el sistema del cliente al que pertenece (RNF-06); el acceso está acotado por permiso (RNF-05). La autogestión de datos personales por la propia persona (HU-005, editar mi perfil) y el procedimiento de respuesta ante brechas se definen con el cliente como parte de la entrega final.</w:t>
            </w:r>
          </w:p>
        </w:tc>
      </w:tr>
      <w:tr>
        <w:tc>
          <w:tcPr>
            <w:tcW w:type="dxa" w:w="2721"/>
          </w:tcPr>
          <w:p>
            <w:r/>
            <w:r>
              <w:rPr>
                <w:sz w:val="19"/>
              </w:rPr>
              <w:t>Ley N.º 19.628 (Protección de la Vida Privada)</w:t>
            </w:r>
          </w:p>
        </w:tc>
        <w:tc>
          <w:tcPr>
            <w:tcW w:type="dxa" w:w="3515"/>
          </w:tcPr>
          <w:p>
            <w:r/>
            <w:r>
              <w:rPr>
                <w:sz w:val="19"/>
              </w:rPr>
              <w:t>Antecesora de la Ley 21.719; aplica en lo que la nueva ley no deroga durante su entrada en vigor escalonada.</w:t>
            </w:r>
          </w:p>
        </w:tc>
        <w:tc>
          <w:tcPr>
            <w:tcW w:type="dxa" w:w="3969"/>
          </w:tcPr>
          <w:p>
            <w:r/>
            <w:r>
              <w:rPr>
                <w:sz w:val="19"/>
              </w:rPr>
              <w:t>Se cubre con las mismas medidas de la fila anterior.</w:t>
            </w:r>
          </w:p>
        </w:tc>
      </w:tr>
      <w:tr>
        <w:tc>
          <w:tcPr>
            <w:tcW w:type="dxa" w:w="2721"/>
          </w:tcPr>
          <w:p>
            <w:r/>
            <w:r>
              <w:rPr>
                <w:sz w:val="19"/>
              </w:rPr>
              <w:t>Ley N.º 21.459 (Delitos Informáticos, Chile)</w:t>
            </w:r>
          </w:p>
        </w:tc>
        <w:tc>
          <w:tcPr>
            <w:tcW w:type="dxa" w:w="3515"/>
          </w:tcPr>
          <w:p>
            <w:r/>
            <w:r>
              <w:rPr>
                <w:sz w:val="19"/>
              </w:rPr>
              <w:t>Tipifica el acceso indebido, la interceptación y el sabotaje informático; exige poder acreditar accesos y no dejar el sistema vulnerable a un acceso no autorizado.</w:t>
            </w:r>
          </w:p>
        </w:tc>
        <w:tc>
          <w:tcPr>
            <w:tcW w:type="dxa" w:w="3969"/>
          </w:tcPr>
          <w:p>
            <w:r/>
            <w:r>
              <w:rPr>
                <w:sz w:val="19"/>
              </w:rPr>
              <w:t>El bloqueo por intentos fallidos (RNF-02) y el registro de errores (RNF-21) dan trazabilidad de incidentes; el registro de auditoría de accesos exitosos se define junto con el control A.8.16 de la tabla siguiente.</w:t>
            </w:r>
          </w:p>
        </w:tc>
      </w:tr>
    </w:tbl>
    <w:p>
      <w:pPr>
        <w:spacing w:after="40"/>
      </w:pPr>
    </w:p>
    <w:p>
      <w:pPr>
        <w:pStyle w:val="Heading2"/>
      </w:pPr>
      <w:r>
        <w:t>6.2 Controles ISO/IEC 27001:2022 (Anexo A)</w:t>
      </w:r>
    </w:p>
    <w:p>
      <w:pPr>
        <w:spacing w:after="120"/>
      </w:pPr>
      <w:r>
        <w:rPr>
          <w:b w:val="0"/>
          <w:i w:val="0"/>
          <w:sz w:val="22"/>
        </w:rPr>
        <w:t>Cada control cita el mecanismo real del proyecto que lo satisface —el mismo que ya se definió en las secciones 2 a 5— para que la alineación con el Anexo A no sea una declaración aparte, sino una lectura distinta de los mismos requisitos.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Requisito</w:t>
            </w:r>
          </w:p>
        </w:tc>
        <w:tc>
          <w:tcPr>
            <w:tcW w:type="dxa" w:w="3912"/>
            <w:shd w:val="clear" w:color="auto" w:fill="E8E5F7"/>
          </w:tcPr>
          <w:p>
            <w:r/>
            <w:r>
              <w:rPr>
                <w:b/>
                <w:sz w:val="19"/>
              </w:rPr>
              <w:t>Definición</w:t>
            </w:r>
          </w:p>
        </w:tc>
        <w:tc>
          <w:tcPr>
            <w:tcW w:type="dxa" w:w="4025"/>
            <w:shd w:val="clear" w:color="auto" w:fill="E8E5F7"/>
          </w:tcPr>
          <w:p>
            <w:r/>
            <w:r>
              <w:rPr>
                <w:b/>
                <w:sz w:val="19"/>
              </w:rPr>
              <w:t>Mecanismo en SIGMA</w:t>
            </w:r>
          </w:p>
        </w:tc>
      </w:tr>
      <w:tr>
        <w:tc>
          <w:tcPr>
            <w:tcW w:type="dxa" w:w="1701"/>
          </w:tcPr>
          <w:p>
            <w:r/>
            <w:r>
              <w:rPr>
                <w:b/>
                <w:sz w:val="19"/>
              </w:rPr>
              <w:t>A.5.15 — Control de acceso</w:t>
            </w:r>
          </w:p>
        </w:tc>
        <w:tc>
          <w:tcPr>
            <w:tcW w:type="dxa" w:w="3912"/>
          </w:tcPr>
          <w:p>
            <w:r/>
            <w:r>
              <w:rPr>
                <w:sz w:val="18"/>
              </w:rPr>
              <w:t>El acceso a cada función del sistema se otorga según el perfil y el permiso de quien lo solicita.</w:t>
            </w:r>
          </w:p>
        </w:tc>
        <w:tc>
          <w:tcPr>
            <w:tcW w:type="dxa" w:w="4025"/>
          </w:tcPr>
          <w:p>
            <w:r/>
            <w:r>
              <w:rPr>
                <w:sz w:val="18"/>
              </w:rPr>
              <w:t>Permisos por dato (RNF-05) y por pantalla, mediante la fila correspondiente en Menus; ninguna ruta se protege solo ocultando un botón.</w:t>
            </w:r>
          </w:p>
        </w:tc>
      </w:tr>
      <w:tr>
        <w:tc>
          <w:tcPr>
            <w:tcW w:type="dxa" w:w="1701"/>
          </w:tcPr>
          <w:p>
            <w:r/>
            <w:r>
              <w:rPr>
                <w:b/>
                <w:sz w:val="19"/>
              </w:rPr>
              <w:t>A.5.18 — Derechos de acceso</w:t>
            </w:r>
          </w:p>
        </w:tc>
        <w:tc>
          <w:tcPr>
            <w:tcW w:type="dxa" w:w="3912"/>
          </w:tcPr>
          <w:p>
            <w:r/>
            <w:r>
              <w:rPr>
                <w:sz w:val="18"/>
              </w:rPr>
              <w:t>Los derechos de acceso se asignan, revisan y revocan de forma gestionada, no por defecto.</w:t>
            </w:r>
          </w:p>
        </w:tc>
        <w:tc>
          <w:tcPr>
            <w:tcW w:type="dxa" w:w="4025"/>
          </w:tcPr>
          <w:p>
            <w:r/>
            <w:r>
              <w:rPr>
                <w:sz w:val="18"/>
              </w:rPr>
              <w:t>Los permisos se asignan por perfil (HU-015) y se pueden otorgar de forma puntual a un usuario con vigencia definida (HU-007).</w:t>
            </w:r>
          </w:p>
        </w:tc>
      </w:tr>
      <w:tr>
        <w:tc>
          <w:tcPr>
            <w:tcW w:type="dxa" w:w="1701"/>
          </w:tcPr>
          <w:p>
            <w:r/>
            <w:r>
              <w:rPr>
                <w:b/>
                <w:sz w:val="19"/>
              </w:rPr>
              <w:t>A.8.5 — Autenticación segura</w:t>
            </w:r>
          </w:p>
        </w:tc>
        <w:tc>
          <w:tcPr>
            <w:tcW w:type="dxa" w:w="3912"/>
          </w:tcPr>
          <w:p>
            <w:r/>
            <w:r>
              <w:rPr>
                <w:sz w:val="18"/>
              </w:rPr>
              <w:t>El acceso al sistema exige un mecanismo de autenticación resistente a los ataques más comunes (fuerza bruta, reutilización de contraseña).</w:t>
            </w:r>
          </w:p>
        </w:tc>
        <w:tc>
          <w:tcPr>
            <w:tcW w:type="dxa" w:w="4025"/>
          </w:tcPr>
          <w:p>
            <w:r/>
            <w:r>
              <w:rPr>
                <w:sz w:val="18"/>
              </w:rPr>
              <w:t>Hash con sal, bloqueo por intentos, contraseña mínima y distinta de las últimas usadas (RNF-01 a RNF-03); token con expiración validada antes de enrutar (RNF-04).</w:t>
            </w:r>
          </w:p>
        </w:tc>
      </w:tr>
      <w:tr>
        <w:tc>
          <w:tcPr>
            <w:tcW w:type="dxa" w:w="1701"/>
          </w:tcPr>
          <w:p>
            <w:r/>
            <w:r>
              <w:rPr>
                <w:b/>
                <w:sz w:val="19"/>
              </w:rPr>
              <w:t>A.8.24 — Uso de criptografía</w:t>
            </w:r>
          </w:p>
        </w:tc>
        <w:tc>
          <w:tcPr>
            <w:tcW w:type="dxa" w:w="3912"/>
          </w:tcPr>
          <w:p>
            <w:r/>
            <w:r>
              <w:rPr>
                <w:sz w:val="18"/>
              </w:rPr>
              <w:t>La información sensible se protege con mecanismos criptográficos donde corresponde.</w:t>
            </w:r>
          </w:p>
        </w:tc>
        <w:tc>
          <w:tcPr>
            <w:tcW w:type="dxa" w:w="4025"/>
          </w:tcPr>
          <w:p>
            <w:r/>
            <w:r>
              <w:rPr>
                <w:sz w:val="18"/>
              </w:rPr>
              <w:t>La contraseña se guarda con hash irreversible (RNF-01); la conexión a la base de datos viaja cifrada (RNF-08). Los identificadores de la interfaz se protegen por autorización en el servidor más codificación Base64, con el cifrado AES-256 de la librería disponible para reforzarlo donde el dato lo amerite (RNF-10).</w:t>
            </w:r>
          </w:p>
        </w:tc>
      </w:tr>
      <w:tr>
        <w:tc>
          <w:tcPr>
            <w:tcW w:type="dxa" w:w="1701"/>
          </w:tcPr>
          <w:p>
            <w:r/>
            <w:r>
              <w:rPr>
                <w:b/>
                <w:sz w:val="19"/>
              </w:rPr>
              <w:t>A.8.15 — Registro de eventos (logging)</w:t>
            </w:r>
          </w:p>
        </w:tc>
        <w:tc>
          <w:tcPr>
            <w:tcW w:type="dxa" w:w="3912"/>
          </w:tcPr>
          <w:p>
            <w:r/>
            <w:r>
              <w:rPr>
                <w:sz w:val="18"/>
              </w:rPr>
              <w:t>Los eventos relevantes del sistema quedan registrados con su autor, su fecha y el detalle necesario para reconstruirlos.</w:t>
            </w:r>
          </w:p>
        </w:tc>
        <w:tc>
          <w:tcPr>
            <w:tcW w:type="dxa" w:w="4025"/>
          </w:tcPr>
          <w:p>
            <w:r/>
            <w:r>
              <w:rPr>
                <w:sz w:val="18"/>
              </w:rPr>
              <w:t>INS_EXCEPCION registra los errores no controlados con su contexto (RNF-21). Toda tabla de negocio lleva *_usuario_creacion, *_fecha_creacion, *_usuario_actualizacion y *_fecha_actualizacion —más de 2.500 columnas de auditoría en el modelo—, así que cada alta y cada edición queda con quién y cuándo.</w:t>
            </w:r>
          </w:p>
        </w:tc>
      </w:tr>
      <w:tr>
        <w:tc>
          <w:tcPr>
            <w:tcW w:type="dxa" w:w="1701"/>
          </w:tcPr>
          <w:p>
            <w:r/>
            <w:r>
              <w:rPr>
                <w:b/>
                <w:sz w:val="19"/>
              </w:rPr>
              <w:t>A.8.16 — Actividades de monitoreo</w:t>
            </w:r>
          </w:p>
        </w:tc>
        <w:tc>
          <w:tcPr>
            <w:tcW w:type="dxa" w:w="3912"/>
          </w:tcPr>
          <w:p>
            <w:r/>
            <w:r>
              <w:rPr>
                <w:sz w:val="18"/>
              </w:rPr>
              <w:t>El sistema permite detectar actividad anómala sobre los eventos que registra.</w:t>
            </w:r>
          </w:p>
        </w:tc>
        <w:tc>
          <w:tcPr>
            <w:tcW w:type="dxa" w:w="4025"/>
          </w:tcPr>
          <w:p>
            <w:r/>
            <w:r>
              <w:rPr>
                <w:sz w:val="18"/>
              </w:rPr>
              <w:t>Se construye sobre la misma base del registro de errores y de accesos fallidos (RNF-02, RNF-21); el monitoreo activo de accesos exitosos y de picos de error se define como parte de la operación en producción.</w:t>
            </w:r>
          </w:p>
        </w:tc>
      </w:tr>
      <w:tr>
        <w:tc>
          <w:tcPr>
            <w:tcW w:type="dxa" w:w="1701"/>
          </w:tcPr>
          <w:p>
            <w:r/>
            <w:r>
              <w:rPr>
                <w:b/>
                <w:sz w:val="19"/>
              </w:rPr>
              <w:t>A.5.33 — Protección de los registros</w:t>
            </w:r>
          </w:p>
        </w:tc>
        <w:tc>
          <w:tcPr>
            <w:tcW w:type="dxa" w:w="3912"/>
          </w:tcPr>
          <w:p>
            <w:r/>
            <w:r>
              <w:rPr>
                <w:sz w:val="18"/>
              </w:rPr>
              <w:t>Un registro no se destruye físicamente cuando deja de usarse: queda disponible para la auditoría y el historial.</w:t>
            </w:r>
          </w:p>
        </w:tc>
        <w:tc>
          <w:tcPr>
            <w:tcW w:type="dxa" w:w="4025"/>
          </w:tcPr>
          <w:p>
            <w:r/>
            <w:r>
              <w:rPr>
                <w:sz w:val="18"/>
              </w:rPr>
              <w:t>Baja lógica (columna *_habilitado) en vez de DELETE físico en todas las tablas maestras del proyecto; 54 reglas de negocio exigen explícitamente que un registro con dependientes no se pueda borrar, solo deshabilitar.</w:t>
            </w:r>
          </w:p>
        </w:tc>
      </w:tr>
      <w:tr>
        <w:tc>
          <w:tcPr>
            <w:tcW w:type="dxa" w:w="1701"/>
          </w:tcPr>
          <w:p>
            <w:r/>
            <w:r>
              <w:rPr>
                <w:b/>
                <w:sz w:val="19"/>
              </w:rPr>
              <w:t>A.5.34 — Privacidad y protección de datos personales</w:t>
            </w:r>
          </w:p>
        </w:tc>
        <w:tc>
          <w:tcPr>
            <w:tcW w:type="dxa" w:w="3912"/>
          </w:tcPr>
          <w:p>
            <w:r/>
            <w:r>
              <w:rPr>
                <w:sz w:val="18"/>
              </w:rPr>
              <w:t>La persona titular de un dato personal puede ejercer sus derechos sobre él, y el sistema define un procedimiento ante una eventual brecha.</w:t>
            </w:r>
          </w:p>
        </w:tc>
        <w:tc>
          <w:tcPr>
            <w:tcW w:type="dxa" w:w="4025"/>
          </w:tcPr>
          <w:p>
            <w:r/>
            <w:r>
              <w:rPr>
                <w:sz w:val="18"/>
              </w:rPr>
              <w:t>HU-005 cubre la edición del propio perfil; los derechos más amplios (exportar, solicitar eliminación) y el procedimiento de notificación de brechas se definen con la Product Owner y el cliente conforme a la Ley 21.719, como parte de la entrega final.</w:t>
            </w:r>
          </w:p>
        </w:tc>
      </w:tr>
    </w:tbl>
    <w:p>
      <w:pPr>
        <w:spacing w:after="40"/>
      </w:pPr>
    </w:p>
    <w:p>
      <w:pPr>
        <w:pStyle w:val="Heading1"/>
      </w:pPr>
      <w:r>
        <w:t>7. Responsables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Rol</w:t>
            </w:r>
          </w:p>
        </w:tc>
        <w:tc>
          <w:tcPr>
            <w:tcW w:type="dxa" w:w="2268"/>
            <w:shd w:val="clear" w:color="auto" w:fill="E8E5F7"/>
          </w:tcPr>
          <w:p>
            <w:r/>
            <w:r>
              <w:rPr>
                <w:b/>
                <w:sz w:val="19"/>
              </w:rPr>
              <w:t>Nombre</w:t>
            </w:r>
          </w:p>
        </w:tc>
        <w:tc>
          <w:tcPr>
            <w:tcW w:type="dxa" w:w="5669"/>
            <w:shd w:val="clear" w:color="auto" w:fill="E8E5F7"/>
          </w:tcPr>
          <w:p>
            <w:r/>
            <w:r>
              <w:rPr>
                <w:b/>
                <w:sz w:val="19"/>
              </w:rPr>
              <w:t>Responsabilidad sobre los RNF</w:t>
            </w:r>
          </w:p>
        </w:tc>
      </w:tr>
      <w:tr>
        <w:tc>
          <w:tcPr>
            <w:tcW w:type="dxa" w:w="1701"/>
          </w:tcPr>
          <w:p>
            <w:r/>
            <w:r>
              <w:rPr>
                <w:sz w:val="19"/>
              </w:rPr>
              <w:t>Developer</w:t>
            </w:r>
          </w:p>
        </w:tc>
        <w:tc>
          <w:tcPr>
            <w:tcW w:type="dxa" w:w="2268"/>
          </w:tcPr>
          <w:p>
            <w:r/>
            <w:r>
              <w:rPr>
                <w:sz w:val="19"/>
              </w:rPr>
              <w:t>Bryan Chávez</w:t>
            </w:r>
          </w:p>
        </w:tc>
        <w:tc>
          <w:tcPr>
            <w:tcW w:type="dxa" w:w="5669"/>
          </w:tcPr>
          <w:p>
            <w:r/>
            <w:r>
              <w:rPr>
                <w:sz w:val="19"/>
              </w:rPr>
              <w:t>Implementa y mantiene el mecanismo de cada requisito; actualiza este documento cuando el diseño del sistema cambia.</w:t>
            </w:r>
          </w:p>
        </w:tc>
      </w:tr>
      <w:tr>
        <w:tc>
          <w:tcPr>
            <w:tcW w:type="dxa" w:w="1701"/>
          </w:tcPr>
          <w:p>
            <w:r/>
            <w:r>
              <w:rPr>
                <w:sz w:val="19"/>
              </w:rPr>
              <w:t>Scrum Master</w:t>
            </w:r>
          </w:p>
        </w:tc>
        <w:tc>
          <w:tcPr>
            <w:tcW w:type="dxa" w:w="2268"/>
          </w:tcPr>
          <w:p>
            <w:r/>
            <w:r>
              <w:rPr>
                <w:sz w:val="19"/>
              </w:rPr>
              <w:t>Emilio Fuentes</w:t>
            </w:r>
          </w:p>
        </w:tc>
        <w:tc>
          <w:tcPr>
            <w:tcW w:type="dxa" w:w="5669"/>
          </w:tcPr>
          <w:p>
            <w:r/>
            <w:r>
              <w:rPr>
                <w:sz w:val="19"/>
              </w:rPr>
              <w:t>Verifica que todo requisito nuevo del Product Backlog traiga sus RNF asociados y los lleva a la Retrospectiva si el equipo detecta uno que falta definir.</w:t>
            </w:r>
          </w:p>
        </w:tc>
      </w:tr>
      <w:tr>
        <w:tc>
          <w:tcPr>
            <w:tcW w:type="dxa" w:w="1701"/>
          </w:tcPr>
          <w:p>
            <w:r/>
            <w:r>
              <w:rPr>
                <w:sz w:val="19"/>
              </w:rPr>
              <w:t>Product Owner</w:t>
            </w:r>
          </w:p>
        </w:tc>
        <w:tc>
          <w:tcPr>
            <w:tcW w:type="dxa" w:w="2268"/>
          </w:tcPr>
          <w:p>
            <w:r/>
            <w:r>
              <w:rPr>
                <w:sz w:val="19"/>
              </w:rPr>
              <w:t>Catalina Pescio</w:t>
            </w:r>
          </w:p>
        </w:tc>
        <w:tc>
          <w:tcPr>
            <w:tcW w:type="dxa" w:w="5669"/>
          </w:tcPr>
          <w:p>
            <w:r/>
            <w:r>
              <w:rPr>
                <w:sz w:val="19"/>
              </w:rPr>
              <w:t>Prioriza, junto con el cliente, qué requisitos se refuerzan antes de la puesta en marcha con datos reales de personas.</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