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4F46E5"/>
          <w:sz w:val="42"/>
        </w:rPr>
        <w:t>REQUISITOS NO FUNCIONALES</w:t>
      </w:r>
    </w:p>
    <w:p>
      <w:pPr>
        <w:spacing w:after="40"/>
      </w:pPr>
      <w:r>
        <w:rPr>
          <w:b w:val="0"/>
          <w:i w:val="0"/>
          <w:sz w:val="26"/>
        </w:rPr>
        <w:t>SIGMA · Sistema Integrado de Gestión de Mantenimiento Industrial</w:t>
      </w:r>
    </w:p>
    <w:p>
      <w:pPr>
        <w:spacing w:after="240"/>
      </w:pPr>
      <w:r>
        <w:rPr>
          <w:b w:val="0"/>
          <w:i w:val="0"/>
          <w:color w:val="555555"/>
          <w:sz w:val="22"/>
        </w:rPr>
        <w:t>SIGMA · Sistema Integrado de Gestión de Mantenimiento Industrial · versión 1.1 · 01-10-2026</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551"/>
            <w:shd w:val="clear" w:color="auto" w:fill="F3F1FB"/>
          </w:tcPr>
          <w:p>
            <w:r/>
            <w:r>
              <w:rPr>
                <w:b/>
                <w:sz w:val="20"/>
              </w:rPr>
              <w:t>Proyecto</w:t>
            </w:r>
          </w:p>
        </w:tc>
        <w:tc>
          <w:tcPr>
            <w:tcW w:type="dxa" w:w="6803"/>
          </w:tcPr>
          <w:p>
            <w:r/>
            <w:r>
              <w:rPr>
                <w:sz w:val="20"/>
              </w:rPr>
              <w:t>SIGMA — Sistema Integrado de Gestión de Mantenimiento Industrial</w:t>
            </w:r>
          </w:p>
        </w:tc>
      </w:tr>
      <w:tr>
        <w:tc>
          <w:tcPr>
            <w:tcW w:type="dxa" w:w="2551"/>
            <w:shd w:val="clear" w:color="auto" w:fill="F3F1FB"/>
          </w:tcPr>
          <w:p>
            <w:r/>
            <w:r>
              <w:rPr>
                <w:b/>
                <w:sz w:val="20"/>
              </w:rPr>
              <w:t>Equipo</w:t>
            </w:r>
          </w:p>
        </w:tc>
        <w:tc>
          <w:tcPr>
            <w:tcW w:type="dxa" w:w="6803"/>
          </w:tcPr>
          <w:p>
            <w:r/>
            <w:r>
              <w:rPr>
                <w:sz w:val="20"/>
              </w:rPr>
              <w:t>Código Creativo</w:t>
            </w:r>
          </w:p>
        </w:tc>
      </w:tr>
      <w:tr>
        <w:tc>
          <w:tcPr>
            <w:tcW w:type="dxa" w:w="2551"/>
            <w:shd w:val="clear" w:color="auto" w:fill="F3F1FB"/>
          </w:tcPr>
          <w:p>
            <w:r/>
            <w:r>
              <w:rPr>
                <w:b/>
                <w:sz w:val="20"/>
              </w:rPr>
              <w:t>Cliente piloto</w:t>
            </w:r>
          </w:p>
        </w:tc>
        <w:tc>
          <w:tcPr>
            <w:tcW w:type="dxa" w:w="6803"/>
          </w:tcPr>
          <w:p>
            <w:r/>
            <w:r>
              <w:rPr>
                <w:sz w:val="20"/>
              </w:rPr>
              <w:t>Hamburgo S.A. — Planta Renca, Región Metropolitana, Chile</w:t>
            </w:r>
          </w:p>
        </w:tc>
      </w:tr>
      <w:tr>
        <w:tc>
          <w:tcPr>
            <w:tcW w:type="dxa" w:w="2551"/>
            <w:shd w:val="clear" w:color="auto" w:fill="F3F1FB"/>
          </w:tcPr>
          <w:p>
            <w:r/>
            <w:r>
              <w:rPr>
                <w:b/>
                <w:sz w:val="20"/>
              </w:rPr>
              <w:t>Artefacto</w:t>
            </w:r>
          </w:p>
        </w:tc>
        <w:tc>
          <w:tcPr>
            <w:tcW w:type="dxa" w:w="6803"/>
          </w:tcPr>
          <w:p>
            <w:r/>
            <w:r>
              <w:rPr>
                <w:sz w:val="20"/>
              </w:rPr>
              <w:t>Requisitos No Funcionales (RNF) — entregable obligatorio de Fase 2</w:t>
            </w:r>
          </w:p>
        </w:tc>
      </w:tr>
      <w:tr>
        <w:tc>
          <w:tcPr>
            <w:tcW w:type="dxa" w:w="2551"/>
            <w:shd w:val="clear" w:color="auto" w:fill="F3F1FB"/>
          </w:tcPr>
          <w:p>
            <w:r/>
            <w:r>
              <w:rPr>
                <w:b/>
                <w:sz w:val="20"/>
              </w:rPr>
              <w:t>Responsable</w:t>
            </w:r>
          </w:p>
        </w:tc>
        <w:tc>
          <w:tcPr>
            <w:tcW w:type="dxa" w:w="6803"/>
          </w:tcPr>
          <w:p>
            <w:r/>
            <w:r>
              <w:rPr>
                <w:sz w:val="20"/>
              </w:rPr>
              <w:t>Bryan Chávez (Developer), con Emilio Fuentes (Scrum Master)</w:t>
            </w:r>
          </w:p>
        </w:tc>
      </w:tr>
      <w:tr>
        <w:tc>
          <w:tcPr>
            <w:tcW w:type="dxa" w:w="2551"/>
            <w:shd w:val="clear" w:color="auto" w:fill="F3F1FB"/>
          </w:tcPr>
          <w:p>
            <w:r/>
            <w:r>
              <w:rPr>
                <w:b/>
                <w:sz w:val="20"/>
              </w:rPr>
              <w:t>Alcance</w:t>
            </w:r>
          </w:p>
        </w:tc>
        <w:tc>
          <w:tcPr>
            <w:tcW w:type="dxa" w:w="6803"/>
          </w:tcPr>
          <w:p>
            <w:r/>
            <w:r>
              <w:rPr>
                <w:sz w:val="20"/>
              </w:rPr>
              <w:t>Web (Intranet ASP.NET WebForms) y API REST (ASP.NET Web API 2) sobre SQL Server. La app Flutter se entrega en el Sprint 6 y hereda estos mismos requisitos del lado servidor.</w:t>
            </w:r>
          </w:p>
        </w:tc>
      </w:tr>
      <w:tr>
        <w:tc>
          <w:tcPr>
            <w:tcW w:type="dxa" w:w="2551"/>
            <w:shd w:val="clear" w:color="auto" w:fill="F3F1FB"/>
          </w:tcPr>
          <w:p>
            <w:r/>
            <w:r>
              <w:rPr>
                <w:b/>
                <w:sz w:val="20"/>
              </w:rPr>
              <w:t>Versión</w:t>
            </w:r>
          </w:p>
        </w:tc>
        <w:tc>
          <w:tcPr>
            <w:tcW w:type="dxa" w:w="6803"/>
          </w:tcPr>
          <w:p>
            <w:r/>
            <w:r>
              <w:rPr>
                <w:sz w:val="20"/>
              </w:rPr>
              <w:t>1.1 — se actualiza al cerrar cada Sprint, junto con el MD de estado</w:t>
            </w:r>
          </w:p>
        </w:tc>
      </w:tr>
      <w:tr>
        <w:tc>
          <w:tcPr>
            <w:tcW w:type="dxa" w:w="2551"/>
            <w:shd w:val="clear" w:color="auto" w:fill="F3F1FB"/>
          </w:tcPr>
          <w:p>
            <w:r/>
            <w:r>
              <w:rPr>
                <w:b/>
                <w:sz w:val="20"/>
              </w:rPr>
              <w:t>Fecha de emisión</w:t>
            </w:r>
          </w:p>
        </w:tc>
        <w:tc>
          <w:tcPr>
            <w:tcW w:type="dxa" w:w="6803"/>
          </w:tcPr>
          <w:p>
            <w:r/>
            <w:r>
              <w:rPr>
                <w:sz w:val="20"/>
              </w:rPr>
              <w:t>01 de octubre de 2026</w:t>
            </w:r>
          </w:p>
        </w:tc>
      </w:tr>
    </w:tbl>
    <w:p>
      <w:pPr>
        <w:spacing w:after="40"/>
      </w:pPr>
    </w:p>
    <w:p>
      <w:pPr>
        <w:pStyle w:val="Heading1"/>
      </w:pPr>
      <w:r>
        <w:t>1. Qué es y cómo se lee este documento</w:t>
      </w:r>
    </w:p>
    <w:p>
      <w:pPr>
        <w:spacing w:after="120"/>
      </w:pPr>
      <w:r>
        <w:rPr>
          <w:b w:val="0"/>
          <w:i w:val="0"/>
          <w:sz w:val="22"/>
        </w:rPr>
        <w:t>Un requisito no funcional describe una cualidad del sistema —qué tan seguro, rápido, grande o disponible es— y no una funcionalidad del Product Backlog. Cada uno se redacta con tres columnas: cómo se cumple HOY, con el mecanismo real y el archivo donde vive; cómo se verifica, con el método concreto; y el estado, en tres niveles: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701"/>
            <w:shd w:val="clear" w:color="auto" w:fill="E8E5F7"/>
          </w:tcPr>
          <w:p>
            <w:r/>
            <w:r>
              <w:rPr>
                <w:b/>
                <w:sz w:val="19"/>
              </w:rPr>
              <w:t>Estado</w:t>
            </w:r>
          </w:p>
        </w:tc>
        <w:tc>
          <w:tcPr>
            <w:tcW w:type="dxa" w:w="7937"/>
            <w:shd w:val="clear" w:color="auto" w:fill="E8E5F7"/>
          </w:tcPr>
          <w:p>
            <w:r/>
            <w:r>
              <w:rPr>
                <w:b/>
                <w:sz w:val="19"/>
              </w:rPr>
              <w:t>Significa</w:t>
            </w:r>
          </w:p>
        </w:tc>
      </w:tr>
      <w:tr>
        <w:tc>
          <w:tcPr>
            <w:tcW w:type="dxa" w:w="1701"/>
          </w:tcPr>
          <w:p>
            <w:r/>
            <w:r>
              <w:rPr>
                <w:sz w:val="19"/>
              </w:rPr>
              <w:t>Cumplido</w:t>
            </w:r>
          </w:p>
        </w:tc>
        <w:tc>
          <w:tcPr>
            <w:tcW w:type="dxa" w:w="7937"/>
          </w:tcPr>
          <w:p>
            <w:r/>
            <w:r>
              <w:rPr>
                <w:sz w:val="19"/>
              </w:rPr>
              <w:t>Implementado y verificable en el código y la base actuales.</w:t>
            </w:r>
          </w:p>
        </w:tc>
      </w:tr>
      <w:tr>
        <w:tc>
          <w:tcPr>
            <w:tcW w:type="dxa" w:w="1701"/>
          </w:tcPr>
          <w:p>
            <w:r/>
            <w:r>
              <w:rPr>
                <w:sz w:val="19"/>
              </w:rPr>
              <w:t>Parcial</w:t>
            </w:r>
          </w:p>
        </w:tc>
        <w:tc>
          <w:tcPr>
            <w:tcW w:type="dxa" w:w="7937"/>
          </w:tcPr>
          <w:p>
            <w:r/>
            <w:r>
              <w:rPr>
                <w:sz w:val="19"/>
              </w:rPr>
              <w:t>Implementado para el caso principal; tiene un límite conocido o falta extenderlo.</w:t>
            </w:r>
          </w:p>
        </w:tc>
      </w:tr>
      <w:tr>
        <w:tc>
          <w:tcPr>
            <w:tcW w:type="dxa" w:w="1701"/>
          </w:tcPr>
          <w:p>
            <w:r/>
            <w:r>
              <w:rPr>
                <w:sz w:val="19"/>
              </w:rPr>
              <w:t>Pendiente</w:t>
            </w:r>
          </w:p>
        </w:tc>
        <w:tc>
          <w:tcPr>
            <w:tcW w:type="dxa" w:w="7937"/>
          </w:tcPr>
          <w:p>
            <w:r/>
            <w:r>
              <w:rPr>
                <w:sz w:val="19"/>
              </w:rPr>
              <w:t>No implementado todavía. Se declara con el Sprint en que se aborda, no se inventa evidencia.</w:t>
            </w:r>
          </w:p>
        </w:tc>
      </w:tr>
    </w:tbl>
    <w:p>
      <w:pPr>
        <w:spacing w:after="40"/>
      </w:pPr>
    </w:p>
    <w:p>
      <w:pPr>
        <w:spacing w:after="120"/>
      </w:pPr>
      <w:r>
        <w:rPr>
          <w:b w:val="0"/>
          <w:i w:val="0"/>
          <w:sz w:val="21"/>
        </w:rPr>
        <w:t>El documento se organiza en las cuatro dimensiones que pide la Fase 2: seguridad, rendimiento, escalabilidad y disponibilidad.</w:t>
      </w:r>
    </w:p>
    <w:p>
      <w:pPr>
        <w:pStyle w:val="Heading1"/>
      </w:pPr>
      <w:r>
        <w:t>2. Seguridad</w:t>
      </w:r>
    </w:p>
    <w:p>
      <w:pPr>
        <w:spacing w:after="120"/>
      </w:pPr>
      <w:r>
        <w:rPr>
          <w:b w:val="0"/>
          <w:i w:val="0"/>
          <w:sz w:val="22"/>
        </w:rPr>
        <w:t>SIGMA es multicliente: la misma base de datos sirve a varios clientes (Hamburgo S.A. y los de prueba), así que el aislamiento entre clientes es, junto con la autenticación, el requisito que más defectos puede ocultar si falla.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1587"/>
            <w:shd w:val="clear" w:color="auto" w:fill="E8E5F7"/>
          </w:tcPr>
          <w:p>
            <w:r/>
            <w:r>
              <w:rPr>
                <w:b/>
                <w:sz w:val="19"/>
              </w:rPr>
              <w:t>Requisito</w:t>
            </w:r>
          </w:p>
        </w:tc>
        <w:tc>
          <w:tcPr>
            <w:tcW w:type="dxa" w:w="3855"/>
            <w:shd w:val="clear" w:color="auto" w:fill="E8E5F7"/>
          </w:tcPr>
          <w:p>
            <w:r/>
            <w:r>
              <w:rPr>
                <w:b/>
                <w:sz w:val="19"/>
              </w:rPr>
              <w:t>Cómo se cumple hoy</w:t>
            </w:r>
          </w:p>
        </w:tc>
        <w:tc>
          <w:tcPr>
            <w:tcW w:type="dxa" w:w="3061"/>
            <w:shd w:val="clear" w:color="auto" w:fill="E8E5F7"/>
          </w:tcPr>
          <w:p>
            <w:r/>
            <w:r>
              <w:rPr>
                <w:b/>
                <w:sz w:val="19"/>
              </w:rPr>
              <w:t>Cómo se verifica</w:t>
            </w:r>
          </w:p>
        </w:tc>
        <w:tc>
          <w:tcPr>
            <w:tcW w:type="dxa" w:w="1134"/>
            <w:shd w:val="clear" w:color="auto" w:fill="E8E5F7"/>
          </w:tcPr>
          <w:p>
            <w:r/>
            <w:r>
              <w:rPr>
                <w:b/>
                <w:sz w:val="19"/>
              </w:rPr>
              <w:t>Estado</w:t>
            </w:r>
          </w:p>
        </w:tc>
      </w:tr>
      <w:tr>
        <w:tc>
          <w:tcPr>
            <w:tcW w:type="dxa" w:w="1587"/>
          </w:tcPr>
          <w:p>
            <w:r/>
            <w:r>
              <w:rPr>
                <w:b/>
                <w:sz w:val="19"/>
              </w:rPr>
              <w:t>RNF-01 — Contraseñas no se almacenan en texto plano</w:t>
            </w:r>
          </w:p>
        </w:tc>
        <w:tc>
          <w:tcPr>
            <w:tcW w:type="dxa" w:w="3855"/>
          </w:tcPr>
          <w:p>
            <w:r/>
            <w:r>
              <w:rPr>
                <w:sz w:val="18"/>
              </w:rPr>
              <w:t>Hash SHA2-256 con sal única por usuario (FNC_PASSWORD_HASH, BD/26). La migración es transparente: la clave antigua en texto plano se acepta UNA vez, se le genera sal y se reemplaza por su hash en la misma llamada de login (BD/26, comentario líneas 30-35); desde ahí el usuario siempre entra por hash.</w:t>
            </w:r>
          </w:p>
        </w:tc>
        <w:tc>
          <w:tcPr>
            <w:tcW w:type="dxa" w:w="3061"/>
          </w:tcPr>
          <w:p>
            <w:r/>
            <w:r>
              <w:rPr>
                <w:sz w:val="18"/>
              </w:rPr>
              <w:t>SEL_LOGIN compara @PASSWORD_GUARDADA contra el hash con la sal del usuario (BD/229, líneas 128-136); se audita con una cuenta migrada y una nueva.</w:t>
            </w:r>
          </w:p>
        </w:tc>
        <w:tc>
          <w:tcPr>
            <w:tcW w:type="dxa" w:w="1134"/>
          </w:tcPr>
          <w:p>
            <w:r/>
            <w:r>
              <w:rPr>
                <w:b/>
                <w:color w:val="1B7F3B"/>
                <w:sz w:val="19"/>
              </w:rPr>
              <w:t>Cumplido</w:t>
            </w:r>
          </w:p>
        </w:tc>
      </w:tr>
      <w:tr>
        <w:tc>
          <w:tcPr>
            <w:tcW w:type="dxa" w:w="1587"/>
          </w:tcPr>
          <w:p>
            <w:r/>
            <w:r>
              <w:rPr>
                <w:b/>
                <w:sz w:val="19"/>
              </w:rPr>
              <w:t>RNF-02 — Bloqueo por intentos fallidos</w:t>
            </w:r>
          </w:p>
        </w:tc>
        <w:tc>
          <w:tcPr>
            <w:tcW w:type="dxa" w:w="3855"/>
          </w:tcPr>
          <w:p>
            <w:r/>
            <w:r>
              <w:rPr>
                <w:sz w:val="18"/>
              </w:rPr>
              <w:t>5 intentos fallidos en 15 minutos bloquean la cuenta (BD/229, @MAX_INTENTOS=5, @BLOQUEO_MIN=15); los contadores son usu_intentos_fallidos y usu_primer_intento_fallido, y se resetean al entrar bien.</w:t>
            </w:r>
          </w:p>
        </w:tc>
        <w:tc>
          <w:tcPr>
            <w:tcW w:type="dxa" w:w="3061"/>
          </w:tcPr>
          <w:p>
            <w:r/>
            <w:r>
              <w:rPr>
                <w:sz w:val="18"/>
              </w:rPr>
              <w:t>Caso de aceptación de HU-001 (S1): 5 intentos fallidos consecutivos y verificación del mensaje de bloqueo con el tiempo restante.</w:t>
            </w:r>
          </w:p>
        </w:tc>
        <w:tc>
          <w:tcPr>
            <w:tcW w:type="dxa" w:w="1134"/>
          </w:tcPr>
          <w:p>
            <w:r/>
            <w:r>
              <w:rPr>
                <w:b/>
                <w:color w:val="1B7F3B"/>
                <w:sz w:val="19"/>
              </w:rPr>
              <w:t>Cumplido</w:t>
            </w:r>
          </w:p>
        </w:tc>
      </w:tr>
      <w:tr>
        <w:tc>
          <w:tcPr>
            <w:tcW w:type="dxa" w:w="1587"/>
          </w:tcPr>
          <w:p>
            <w:r/>
            <w:r>
              <w:rPr>
                <w:b/>
                <w:sz w:val="19"/>
              </w:rPr>
              <w:t>RNF-03 — Contraseña nueva distinta de las 3 anteriores y con regla mínima</w:t>
            </w:r>
          </w:p>
        </w:tc>
        <w:tc>
          <w:tcPr>
            <w:tcW w:type="dxa" w:w="3855"/>
          </w:tcPr>
          <w:p>
            <w:r/>
            <w:r>
              <w:rPr>
                <w:sz w:val="18"/>
              </w:rPr>
              <w:t>UPD_USUARIO_PASSWORD compara el hash de la nueva contraseña contra las 3 anteriores guardadas (BD/250) y exige mínimo 8 caracteres con al menos un dígito (BD/250, línea 70 y 79).</w:t>
            </w:r>
          </w:p>
        </w:tc>
        <w:tc>
          <w:tcPr>
            <w:tcW w:type="dxa" w:w="3061"/>
          </w:tcPr>
          <w:p>
            <w:r/>
            <w:r>
              <w:rPr>
                <w:sz w:val="18"/>
              </w:rPr>
              <w:t>Caso de aceptación de HU-005 (editar mi perfil): se intenta repetir la contraseña anterior y se verifica el rechazo.</w:t>
            </w:r>
          </w:p>
        </w:tc>
        <w:tc>
          <w:tcPr>
            <w:tcW w:type="dxa" w:w="1134"/>
          </w:tcPr>
          <w:p>
            <w:r/>
            <w:r>
              <w:rPr>
                <w:b/>
                <w:color w:val="1B7F3B"/>
                <w:sz w:val="19"/>
              </w:rPr>
              <w:t>Cumplido</w:t>
            </w:r>
          </w:p>
        </w:tc>
      </w:tr>
      <w:tr>
        <w:tc>
          <w:tcPr>
            <w:tcW w:type="dxa" w:w="1587"/>
          </w:tcPr>
          <w:p>
            <w:r/>
            <w:r>
              <w:rPr>
                <w:b/>
                <w:sz w:val="19"/>
              </w:rPr>
              <w:t>RNF-04 — Autenticación de la API por token, con expiración validada antes de enrutar</w:t>
            </w:r>
          </w:p>
        </w:tc>
        <w:tc>
          <w:tcPr>
            <w:tcW w:type="dxa" w:w="3855"/>
          </w:tcPr>
          <w:p>
            <w:r/>
            <w:r>
              <w:rPr>
                <w:sz w:val="18"/>
              </w:rPr>
              <w:t>JWT Bearer validado por TokenValidationHandler (DelegatingHandler), que corre ANTES de que la petición llegue al controlador — incluidos los endpoints anónimos, que deben llegar SIN cabecera Authorization (lección registrada en memoria del equipo: un token vencido en el header rompe hasta POST /sesion).</w:t>
            </w:r>
          </w:p>
        </w:tc>
        <w:tc>
          <w:tcPr>
            <w:tcW w:type="dxa" w:w="3061"/>
          </w:tcPr>
          <w:p>
            <w:r/>
            <w:r>
              <w:rPr>
                <w:sz w:val="18"/>
              </w:rPr>
              <w:t>Caso de aceptación: token expirado devuelve 401 antes de ejecutar cualquier lógica de negocio; POST /sesion sin cabecera Authorization siempre responde.</w:t>
            </w:r>
          </w:p>
        </w:tc>
        <w:tc>
          <w:tcPr>
            <w:tcW w:type="dxa" w:w="1134"/>
          </w:tcPr>
          <w:p>
            <w:r/>
            <w:r>
              <w:rPr>
                <w:b/>
                <w:color w:val="1B7F3B"/>
                <w:sz w:val="19"/>
              </w:rPr>
              <w:t>Cumplido</w:t>
            </w:r>
          </w:p>
        </w:tc>
      </w:tr>
      <w:tr>
        <w:tc>
          <w:tcPr>
            <w:tcW w:type="dxa" w:w="1587"/>
          </w:tcPr>
          <w:p>
            <w:r/>
            <w:r>
              <w:rPr>
                <w:b/>
                <w:sz w:val="19"/>
              </w:rPr>
              <w:t>RNF-05 — Los permisos se validan en el servidor, no solo ocultando controles</w:t>
            </w:r>
          </w:p>
        </w:tc>
        <w:tc>
          <w:tcPr>
            <w:tcW w:type="dxa" w:w="3855"/>
          </w:tcPr>
          <w:p>
            <w:r/>
            <w:r>
              <w:rPr>
                <w:sz w:val="18"/>
              </w:rPr>
              <w:t>Patrón único en todo el proyecto: Token.Puede(codigo) / Token.ExigirPagina() en la web, [ExigirPermiso] en la API. Una pantalla existe solo si tiene fila en Menus — no hay archivo Paginas.cs ni lista de rutas protegidas en código (criterio 3 original de la Definition of Done; ampliado por el acuerdo A8 de la Retrospectiva 2 a toda regla de negocio, no solo permisos).</w:t>
            </w:r>
          </w:p>
        </w:tc>
        <w:tc>
          <w:tcPr>
            <w:tcW w:type="dxa" w:w="3061"/>
          </w:tcPr>
          <w:p>
            <w:r/>
            <w:r>
              <w:rPr>
                <w:sz w:val="18"/>
              </w:rPr>
              <w:t>Se invoca el endpoint o la página directo, con un usuario sin el permiso, y debe rechazarse aunque el botón esté oculto en la interfaz. Caso de aceptación por historia.</w:t>
            </w:r>
          </w:p>
        </w:tc>
        <w:tc>
          <w:tcPr>
            <w:tcW w:type="dxa" w:w="1134"/>
          </w:tcPr>
          <w:p>
            <w:r/>
            <w:r>
              <w:rPr>
                <w:b/>
                <w:color w:val="1B7F3B"/>
                <w:sz w:val="19"/>
              </w:rPr>
              <w:t>Cumplido</w:t>
            </w:r>
          </w:p>
        </w:tc>
      </w:tr>
      <w:tr>
        <w:tc>
          <w:tcPr>
            <w:tcW w:type="dxa" w:w="1587"/>
          </w:tcPr>
          <w:p>
            <w:r/>
            <w:r>
              <w:rPr>
                <w:b/>
                <w:sz w:val="19"/>
              </w:rPr>
              <w:t>RNF-06 — Aislamiento entre clientes (multi-tenant)</w:t>
            </w:r>
          </w:p>
        </w:tc>
        <w:tc>
          <w:tcPr>
            <w:tcW w:type="dxa" w:w="3855"/>
          </w:tcPr>
          <w:p>
            <w:r/>
            <w:r>
              <w:rPr>
                <w:sz w:val="18"/>
              </w:rPr>
              <w:t>Todo SP de lectura filtra por @CLIENTE y toda tabla de negocio lleva su columna *_cliente; es el patrón obligatorio de PATRONES/ASP. Se cuentan más de 1.000 filtros por cliente en los procedimientos de BD/.</w:t>
            </w:r>
          </w:p>
        </w:tc>
        <w:tc>
          <w:tcPr>
            <w:tcW w:type="dxa" w:w="3061"/>
          </w:tcPr>
          <w:p>
            <w:r/>
            <w:r>
              <w:rPr>
                <w:sz w:val="18"/>
              </w:rPr>
              <w:t>Con dos clientes cargados y dos sesiones simultáneas, se repiten las consultas de una historia y se comprueba que ningún dato del otro cliente aparece (criterio 4 de la Definition of Done, verificado por historia).</w:t>
            </w:r>
          </w:p>
        </w:tc>
        <w:tc>
          <w:tcPr>
            <w:tcW w:type="dxa" w:w="1134"/>
          </w:tcPr>
          <w:p>
            <w:r/>
            <w:r>
              <w:rPr>
                <w:b/>
                <w:color w:val="1B7F3B"/>
                <w:sz w:val="19"/>
              </w:rPr>
              <w:t>Cumplido</w:t>
            </w:r>
          </w:p>
        </w:tc>
      </w:tr>
      <w:tr>
        <w:tc>
          <w:tcPr>
            <w:tcW w:type="dxa" w:w="1587"/>
          </w:tcPr>
          <w:p>
            <w:r/>
            <w:r>
              <w:rPr>
                <w:b/>
                <w:sz w:val="19"/>
              </w:rPr>
              <w:t>RNF-07 — Un cliente sin suscripción vigente no puede operar</w:t>
            </w:r>
          </w:p>
        </w:tc>
        <w:tc>
          <w:tcPr>
            <w:tcW w:type="dxa" w:w="3855"/>
          </w:tcPr>
          <w:p>
            <w:r/>
            <w:r>
              <w:rPr>
                <w:sz w:val="18"/>
              </w:rPr>
              <w:t>SuscripcionVigenteHandler corta la petición con 402 si FNC_SUSCRIPCION_VIGENTE(@CLIENTE) da falso, antes de llegar al controlador (HU-193, WebApiConfig.cs).</w:t>
            </w:r>
          </w:p>
        </w:tc>
        <w:tc>
          <w:tcPr>
            <w:tcW w:type="dxa" w:w="3061"/>
          </w:tcPr>
          <w:p>
            <w:r/>
            <w:r>
              <w:rPr>
                <w:sz w:val="18"/>
              </w:rPr>
              <w:t>Caso de aceptación de HU-193: suscripción vencida, se intenta una operación de escritura y se verifica el 402; el login sigue permitido para que el cliente pueda ver su estado de cuenta.</w:t>
            </w:r>
          </w:p>
        </w:tc>
        <w:tc>
          <w:tcPr>
            <w:tcW w:type="dxa" w:w="1134"/>
          </w:tcPr>
          <w:p>
            <w:r/>
            <w:r>
              <w:rPr>
                <w:b/>
                <w:color w:val="1B7F3B"/>
                <w:sz w:val="19"/>
              </w:rPr>
              <w:t>Cumplido</w:t>
            </w:r>
          </w:p>
        </w:tc>
      </w:tr>
      <w:tr>
        <w:tc>
          <w:tcPr>
            <w:tcW w:type="dxa" w:w="1587"/>
          </w:tcPr>
          <w:p>
            <w:r/>
            <w:r>
              <w:rPr>
                <w:b/>
                <w:sz w:val="19"/>
              </w:rPr>
              <w:t>RNF-08 — Tráfico cifrado (HTTPS) entre la app y la API</w:t>
            </w:r>
          </w:p>
        </w:tc>
        <w:tc>
          <w:tcPr>
            <w:tcW w:type="dxa" w:w="3855"/>
          </w:tcPr>
          <w:p>
            <w:r/>
            <w:r>
              <w:rPr>
                <w:sz w:val="18"/>
              </w:rPr>
              <w:t>La API corre hoy sobre el hosting de pruebas sin certificado propio; publicar con HTTPS es tarea T-6301 a T-6305, concentrada en el Sprint 6 junto con el resto de la infraestructura externa (SMTP, almacenamiento, Google Maps, push), por decisión de la Sprint Review 1.</w:t>
            </w:r>
          </w:p>
        </w:tc>
        <w:tc>
          <w:tcPr>
            <w:tcW w:type="dxa" w:w="3061"/>
          </w:tcPr>
          <w:p>
            <w:r/>
            <w:r>
              <w:rPr>
                <w:sz w:val="18"/>
              </w:rPr>
              <w:t>Se verificará con un sniffer de red entre un dispositivo de prueba y la API publicada, antes de la entrega del Sprint 6.</w:t>
            </w:r>
          </w:p>
        </w:tc>
        <w:tc>
          <w:tcPr>
            <w:tcW w:type="dxa" w:w="1134"/>
          </w:tcPr>
          <w:p>
            <w:r/>
            <w:r>
              <w:rPr>
                <w:b/>
                <w:color w:val="555555"/>
                <w:sz w:val="19"/>
              </w:rPr>
              <w:t>Pendiente — Sprint 6</w:t>
            </w:r>
          </w:p>
        </w:tc>
      </w:tr>
    </w:tbl>
    <w:p>
      <w:pPr>
        <w:spacing w:after="40"/>
      </w:pPr>
    </w:p>
    <w:p>
      <w:pPr>
        <w:pStyle w:val="Heading1"/>
      </w:pPr>
      <w:r>
        <w:t>3. Rendimiento</w:t>
      </w:r>
    </w:p>
    <w:p>
      <w:pPr>
        <w:spacing w:after="120"/>
      </w:pPr>
      <w:r>
        <w:rPr>
          <w:b w:val="0"/>
          <w:i w:val="0"/>
          <w:sz w:val="22"/>
        </w:rPr>
        <w:t>El rendimiento de SIGMA se mide en dos lugares distintos, porque sus pantallas pesan distinto: las consultas a la base y el peso de la página web, que depende de los controles Telerik.</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1587"/>
            <w:shd w:val="clear" w:color="auto" w:fill="E8E5F7"/>
          </w:tcPr>
          <w:p>
            <w:r/>
            <w:r>
              <w:rPr>
                <w:b/>
                <w:sz w:val="19"/>
              </w:rPr>
              <w:t>Requisito</w:t>
            </w:r>
          </w:p>
        </w:tc>
        <w:tc>
          <w:tcPr>
            <w:tcW w:type="dxa" w:w="3855"/>
            <w:shd w:val="clear" w:color="auto" w:fill="E8E5F7"/>
          </w:tcPr>
          <w:p>
            <w:r/>
            <w:r>
              <w:rPr>
                <w:b/>
                <w:sz w:val="19"/>
              </w:rPr>
              <w:t>Cómo se cumple hoy</w:t>
            </w:r>
          </w:p>
        </w:tc>
        <w:tc>
          <w:tcPr>
            <w:tcW w:type="dxa" w:w="3061"/>
            <w:shd w:val="clear" w:color="auto" w:fill="E8E5F7"/>
          </w:tcPr>
          <w:p>
            <w:r/>
            <w:r>
              <w:rPr>
                <w:b/>
                <w:sz w:val="19"/>
              </w:rPr>
              <w:t>Cómo se verifica</w:t>
            </w:r>
          </w:p>
        </w:tc>
        <w:tc>
          <w:tcPr>
            <w:tcW w:type="dxa" w:w="1134"/>
            <w:shd w:val="clear" w:color="auto" w:fill="E8E5F7"/>
          </w:tcPr>
          <w:p>
            <w:r/>
            <w:r>
              <w:rPr>
                <w:b/>
                <w:sz w:val="19"/>
              </w:rPr>
              <w:t>Estado</w:t>
            </w:r>
          </w:p>
        </w:tc>
      </w:tr>
      <w:tr>
        <w:tc>
          <w:tcPr>
            <w:tcW w:type="dxa" w:w="1587"/>
          </w:tcPr>
          <w:p>
            <w:r/>
            <w:r>
              <w:rPr>
                <w:b/>
                <w:sz w:val="19"/>
              </w:rPr>
              <w:t>RNF-09 — Las consultas no barren tablas completas (SARGable)</w:t>
            </w:r>
          </w:p>
        </w:tc>
        <w:tc>
          <w:tcPr>
            <w:tcW w:type="dxa" w:w="3855"/>
          </w:tcPr>
          <w:p>
            <w:r/>
            <w:r>
              <w:rPr>
                <w:sz w:val="18"/>
              </w:rPr>
              <w:t>Patrón PATRONES/ASP: todo SP de listado usa parámetros con ORDER BY estable y, cuando filtra texto, lo hace con LIKE sobre columnas indexadas; no hay SQL armado por concatenación de texto del usuario (evita además inyección SQL). 205 índices creados en BD/ junto a las tablas que soportan.</w:t>
            </w:r>
          </w:p>
        </w:tc>
        <w:tc>
          <w:tcPr>
            <w:tcW w:type="dxa" w:w="3061"/>
          </w:tcPr>
          <w:p>
            <w:r/>
            <w:r>
              <w:rPr>
                <w:sz w:val="18"/>
              </w:rPr>
              <w:t>Plan de ejecución de los SP de listado más usados (SEL_PLAN_OCURRENCIA_BANDEJA, SEL_ORDEN_TRABAJO, SEL_ACTIVO) contra datos de volumen representativo: sin Table Scan ni Key Lookup costoso.</w:t>
            </w:r>
          </w:p>
        </w:tc>
        <w:tc>
          <w:tcPr>
            <w:tcW w:type="dxa" w:w="1134"/>
          </w:tcPr>
          <w:p>
            <w:r/>
            <w:r>
              <w:rPr>
                <w:b/>
                <w:color w:val="1B7F3B"/>
                <w:sz w:val="19"/>
              </w:rPr>
              <w:t>Cumplido</w:t>
            </w:r>
          </w:p>
        </w:tc>
      </w:tr>
      <w:tr>
        <w:tc>
          <w:tcPr>
            <w:tcW w:type="dxa" w:w="1587"/>
          </w:tcPr>
          <w:p>
            <w:r/>
            <w:r>
              <w:rPr>
                <w:b/>
                <w:sz w:val="19"/>
              </w:rPr>
              <w:t>RNF-10 — Paginación en servidor para listados que pueden crecer</w:t>
            </w:r>
          </w:p>
        </w:tc>
        <w:tc>
          <w:tcPr>
            <w:tcW w:type="dxa" w:w="3855"/>
          </w:tcPr>
          <w:p>
            <w:r/>
            <w:r>
              <w:rPr>
                <w:sz w:val="18"/>
              </w:rPr>
              <w:t>70 SP reciben @PAGINA y @TAMANO y devuelven solo esa página con OFFSET/FETCH o ROW_NUMBER; el listado no se trae completo para filtrarlo en el navegador. Es el criterio explícito de Planificación 360 (&lt;10 KB de ViewState, filtrar y paginar en el servidor, nunca en el cliente).</w:t>
            </w:r>
          </w:p>
        </w:tc>
        <w:tc>
          <w:tcPr>
            <w:tcW w:type="dxa" w:w="3061"/>
          </w:tcPr>
          <w:p>
            <w:r/>
            <w:r>
              <w:rPr>
                <w:sz w:val="18"/>
              </w:rPr>
              <w:t>Con una tabla de volumen de producción simulado, se mide que el tiempo de respuesta no crece de forma lineal con el total de filas, solo con el tamaño de página.</w:t>
            </w:r>
          </w:p>
        </w:tc>
        <w:tc>
          <w:tcPr>
            <w:tcW w:type="dxa" w:w="1134"/>
          </w:tcPr>
          <w:p>
            <w:r/>
            <w:r>
              <w:rPr>
                <w:b/>
                <w:color w:val="1B7F3B"/>
                <w:sz w:val="19"/>
              </w:rPr>
              <w:t>Cumplido</w:t>
            </w:r>
          </w:p>
        </w:tc>
      </w:tr>
      <w:tr>
        <w:tc>
          <w:tcPr>
            <w:tcW w:type="dxa" w:w="1587"/>
          </w:tcPr>
          <w:p>
            <w:r/>
            <w:r>
              <w:rPr>
                <w:b/>
                <w:sz w:val="19"/>
              </w:rPr>
              <w:t>RNF-11 — Caché corta en la API para consultas repetidas</w:t>
            </w:r>
          </w:p>
        </w:tc>
        <w:tc>
          <w:tcPr>
            <w:tcW w:type="dxa" w:w="3855"/>
          </w:tcPr>
          <w:p>
            <w:r/>
            <w:r>
              <w:rPr>
                <w:sz w:val="18"/>
              </w:rPr>
              <w:t>CacheCorta.Obtener&lt;T&gt;() guarda el resultado 60 segundos en el caché de ASP.NET, usado en catálogos y listados de referencia (Activos, ClienteUsuarios, catálogos); nunca cachea null, para que un tropiezo momentáneo de la base no quede fijado un minuto.</w:t>
            </w:r>
          </w:p>
        </w:tc>
        <w:tc>
          <w:tcPr>
            <w:tcW w:type="dxa" w:w="3061"/>
          </w:tcPr>
          <w:p>
            <w:r/>
            <w:r>
              <w:rPr>
                <w:sz w:val="18"/>
              </w:rPr>
              <w:t>Dos llamadas seguidas al mismo endpoint dentro de 60 s: la segunda no vuelve a tocar la base (se verifica con el contador de conexiones o con un breakpoint en el SP).</w:t>
            </w:r>
          </w:p>
        </w:tc>
        <w:tc>
          <w:tcPr>
            <w:tcW w:type="dxa" w:w="1134"/>
          </w:tcPr>
          <w:p>
            <w:r/>
            <w:r>
              <w:rPr>
                <w:b/>
                <w:color w:val="1B7F3B"/>
                <w:sz w:val="19"/>
              </w:rPr>
              <w:t>Cumplido</w:t>
            </w:r>
          </w:p>
        </w:tc>
      </w:tr>
      <w:tr>
        <w:tc>
          <w:tcPr>
            <w:tcW w:type="dxa" w:w="1587"/>
          </w:tcPr>
          <w:p>
            <w:r/>
            <w:r>
              <w:rPr>
                <w:b/>
                <w:sz w:val="19"/>
              </w:rPr>
              <w:t>RNF-12 — El peso de página (ViewState y DOM) tiene un presupuesto medido</w:t>
            </w:r>
          </w:p>
        </w:tc>
        <w:tc>
          <w:tcPr>
            <w:tcW w:type="dxa" w:w="3855"/>
          </w:tcPr>
          <w:p>
            <w:r/>
            <w:r>
              <w:rPr>
                <w:sz w:val="18"/>
              </w:rPr>
              <w:t>El análisis de viabilidad de Centro de Mantenimiento (26-09-2026) midió las pantallas más pesadas del sitio: Programaciones 80 KB de ViewState / 2.314 nodos DOM; el Centro del plan, 25 KB / 922 nodos. Planificación 360 se construyó con meta explícita &lt;10 KB de ViewState y &lt;1.000 nodos DOM, sin RadGrid2 ni UpdatePanel, con pestañas resueltas en el navegador y datos cargados por WebMethod bajo demanda.</w:t>
            </w:r>
          </w:p>
        </w:tc>
        <w:tc>
          <w:tcPr>
            <w:tcW w:type="dxa" w:w="3061"/>
          </w:tcPr>
          <w:p>
            <w:r/>
            <w:r>
              <w:rPr>
                <w:sz w:val="18"/>
              </w:rPr>
              <w:t>Medición de ViewState (tamaño del campo __VIEWSTATE) y de nodos DOM (document.querySelectorAll('*').length) en cada pantalla nueva, contra el presupuesto declarado.</w:t>
            </w:r>
          </w:p>
        </w:tc>
        <w:tc>
          <w:tcPr>
            <w:tcW w:type="dxa" w:w="1134"/>
          </w:tcPr>
          <w:p>
            <w:r/>
            <w:r>
              <w:rPr>
                <w:b/>
                <w:color w:val="555555"/>
                <w:sz w:val="19"/>
              </w:rPr>
              <w:t>Parcial — el patrón está definido y aplicado en las pantallas nuevas (Planificación 360, los Centros 360); las pantallas antiguas con RadGrid2 (Programaciones, listados clásicos) no se han optimizado todavía.</w:t>
            </w:r>
          </w:p>
        </w:tc>
      </w:tr>
      <w:tr>
        <w:tc>
          <w:tcPr>
            <w:tcW w:type="dxa" w:w="1587"/>
          </w:tcPr>
          <w:p>
            <w:r/>
            <w:r>
              <w:rPr>
                <w:b/>
                <w:sz w:val="19"/>
              </w:rPr>
              <w:t>RNF-13 — Tiempo de respuesta de la API</w:t>
            </w:r>
          </w:p>
        </w:tc>
        <w:tc>
          <w:tcPr>
            <w:tcW w:type="dxa" w:w="3855"/>
          </w:tcPr>
          <w:p>
            <w:r/>
            <w:r>
              <w:rPr>
                <w:sz w:val="18"/>
              </w:rPr>
              <w:t>No hay una meta numérica de milisegundos declarada ni medición de carga (número de peticiones concurrentes) todavía.</w:t>
            </w:r>
          </w:p>
        </w:tc>
        <w:tc>
          <w:tcPr>
            <w:tcW w:type="dxa" w:w="3061"/>
          </w:tcPr>
          <w:p>
            <w:r/>
            <w:r>
              <w:rPr>
                <w:sz w:val="18"/>
              </w:rPr>
              <w:t>Se definirá un umbral (por ejemplo, p95 &lt; 500 ms para los endpoints de lectura) y se medirá con una herramienta de carga (k6, Apache Bench o JMeter) contra el ambiente de pruebas.</w:t>
            </w:r>
          </w:p>
        </w:tc>
        <w:tc>
          <w:tcPr>
            <w:tcW w:type="dxa" w:w="1134"/>
          </w:tcPr>
          <w:p>
            <w:r/>
            <w:r>
              <w:rPr>
                <w:b/>
                <w:color w:val="555555"/>
                <w:sz w:val="19"/>
              </w:rPr>
              <w:t>Pendiente — antes de la entrega final</w:t>
            </w:r>
          </w:p>
        </w:tc>
      </w:tr>
    </w:tbl>
    <w:p>
      <w:pPr>
        <w:spacing w:after="40"/>
      </w:pPr>
    </w:p>
    <w:p>
      <w:pPr>
        <w:pStyle w:val="Heading1"/>
      </w:pPr>
      <w:r>
        <w:t>4. Escalabilidad</w:t>
      </w:r>
    </w:p>
    <w:p>
      <w:pPr>
        <w:spacing w:after="120"/>
      </w:pPr>
      <w:r>
        <w:rPr>
          <w:b w:val="0"/>
          <w:i w:val="0"/>
          <w:sz w:val="22"/>
        </w:rPr>
        <w:t>SIGMA está pensado para más de una planta y más de un cliente desde el modelo de datos, no como una extensión posterior.</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1587"/>
            <w:shd w:val="clear" w:color="auto" w:fill="E8E5F7"/>
          </w:tcPr>
          <w:p>
            <w:r/>
            <w:r>
              <w:rPr>
                <w:b/>
                <w:sz w:val="19"/>
              </w:rPr>
              <w:t>Requisito</w:t>
            </w:r>
          </w:p>
        </w:tc>
        <w:tc>
          <w:tcPr>
            <w:tcW w:type="dxa" w:w="3855"/>
            <w:shd w:val="clear" w:color="auto" w:fill="E8E5F7"/>
          </w:tcPr>
          <w:p>
            <w:r/>
            <w:r>
              <w:rPr>
                <w:b/>
                <w:sz w:val="19"/>
              </w:rPr>
              <w:t>Cómo se cumple hoy</w:t>
            </w:r>
          </w:p>
        </w:tc>
        <w:tc>
          <w:tcPr>
            <w:tcW w:type="dxa" w:w="3061"/>
            <w:shd w:val="clear" w:color="auto" w:fill="E8E5F7"/>
          </w:tcPr>
          <w:p>
            <w:r/>
            <w:r>
              <w:rPr>
                <w:b/>
                <w:sz w:val="19"/>
              </w:rPr>
              <w:t>Cómo se verifica</w:t>
            </w:r>
          </w:p>
        </w:tc>
        <w:tc>
          <w:tcPr>
            <w:tcW w:type="dxa" w:w="1134"/>
            <w:shd w:val="clear" w:color="auto" w:fill="E8E5F7"/>
          </w:tcPr>
          <w:p>
            <w:r/>
            <w:r>
              <w:rPr>
                <w:b/>
                <w:sz w:val="19"/>
              </w:rPr>
              <w:t>Estado</w:t>
            </w:r>
          </w:p>
        </w:tc>
      </w:tr>
      <w:tr>
        <w:tc>
          <w:tcPr>
            <w:tcW w:type="dxa" w:w="1587"/>
          </w:tcPr>
          <w:p>
            <w:r/>
            <w:r>
              <w:rPr>
                <w:b/>
                <w:sz w:val="19"/>
              </w:rPr>
              <w:t>RNF-14 — Multicliente y multiplanta desde el modelo de datos</w:t>
            </w:r>
          </w:p>
        </w:tc>
        <w:tc>
          <w:tcPr>
            <w:tcW w:type="dxa" w:w="3855"/>
          </w:tcPr>
          <w:p>
            <w:r/>
            <w:r>
              <w:rPr>
                <w:sz w:val="18"/>
              </w:rPr>
              <w:t>Toda tabla de negocio tiene su columna *_cliente y las que corresponden, su *_cliente_instalacion (planta); no hay una base por cliente. Un cliente nuevo es una fila en Cliente, no un despliegue nuevo.</w:t>
            </w:r>
          </w:p>
        </w:tc>
        <w:tc>
          <w:tcPr>
            <w:tcW w:type="dxa" w:w="3061"/>
          </w:tcPr>
          <w:p>
            <w:r/>
            <w:r>
              <w:rPr>
                <w:sz w:val="18"/>
              </w:rPr>
              <w:t>Alta de un segundo cliente de prueba y verificación de que sus datos conviven con los del primero sin cruzarse (mismo caso que RNF-06).</w:t>
            </w:r>
          </w:p>
        </w:tc>
        <w:tc>
          <w:tcPr>
            <w:tcW w:type="dxa" w:w="1134"/>
          </w:tcPr>
          <w:p>
            <w:r/>
            <w:r>
              <w:rPr>
                <w:b/>
                <w:color w:val="1B7F3B"/>
                <w:sz w:val="19"/>
              </w:rPr>
              <w:t>Cumplido</w:t>
            </w:r>
          </w:p>
        </w:tc>
      </w:tr>
      <w:tr>
        <w:tc>
          <w:tcPr>
            <w:tcW w:type="dxa" w:w="1587"/>
          </w:tcPr>
          <w:p>
            <w:r/>
            <w:r>
              <w:rPr>
                <w:b/>
                <w:sz w:val="19"/>
              </w:rPr>
              <w:t>RNF-15 — Catálogos ampliables sin tocar código</w:t>
            </w:r>
          </w:p>
        </w:tc>
        <w:tc>
          <w:tcPr>
            <w:tcW w:type="dxa" w:w="3855"/>
          </w:tcPr>
          <w:p>
            <w:r/>
            <w:r>
              <w:rPr>
                <w:sz w:val="18"/>
              </w:rPr>
              <w:t>HU-021: valores propios de un catálogo (tipos, categorías) se agregan por cliente desde la web, sin desplegar; el código lee el catálogo de la base, no una lista fija en C#.</w:t>
            </w:r>
          </w:p>
        </w:tc>
        <w:tc>
          <w:tcPr>
            <w:tcW w:type="dxa" w:w="3061"/>
          </w:tcPr>
          <w:p>
            <w:r/>
            <w:r>
              <w:rPr>
                <w:sz w:val="18"/>
              </w:rPr>
              <w:t>Un cliente agrega un valor de catálogo nuevo y lo usa de inmediato en un formulario, sin reiniciar la aplicación.</w:t>
            </w:r>
          </w:p>
        </w:tc>
        <w:tc>
          <w:tcPr>
            <w:tcW w:type="dxa" w:w="1134"/>
          </w:tcPr>
          <w:p>
            <w:r/>
            <w:r>
              <w:rPr>
                <w:b/>
                <w:color w:val="1B7F3B"/>
                <w:sz w:val="19"/>
              </w:rPr>
              <w:t>Cumplido</w:t>
            </w:r>
          </w:p>
        </w:tc>
      </w:tr>
      <w:tr>
        <w:tc>
          <w:tcPr>
            <w:tcW w:type="dxa" w:w="1587"/>
          </w:tcPr>
          <w:p>
            <w:r/>
            <w:r>
              <w:rPr>
                <w:b/>
                <w:sz w:val="19"/>
              </w:rPr>
              <w:t>RNF-16 — Un procedimiento sirve para N programaciones (motor único de recurrencia)</w:t>
            </w:r>
          </w:p>
        </w:tc>
        <w:tc>
          <w:tcPr>
            <w:tcW w:type="dxa" w:w="3855"/>
          </w:tcPr>
          <w:p>
            <w:r/>
            <w:r>
              <w:rPr>
                <w:sz w:val="18"/>
              </w:rPr>
              <w:t>Programacion es una sola tabla que usan los planes de mantenimiento, los checklists y las tareas recurrentes (HU-070 a HU-077, acuerdo de diseño de la Retrospectiva 3): agregar un cuarto consumidor no duplica el motor de recurrencia, solo agrega una fila que apunta a una Programacion existente.</w:t>
            </w:r>
          </w:p>
        </w:tc>
        <w:tc>
          <w:tcPr>
            <w:tcW w:type="dxa" w:w="3061"/>
          </w:tcPr>
          <w:p>
            <w:r/>
            <w:r>
              <w:rPr>
                <w:sz w:val="18"/>
              </w:rPr>
              <w:t>Alta de una programación nueva usada por un checklist y, por separado, por una tarea, y verificación de que ambas proyectan las mismas fechas.</w:t>
            </w:r>
          </w:p>
        </w:tc>
        <w:tc>
          <w:tcPr>
            <w:tcW w:type="dxa" w:w="1134"/>
          </w:tcPr>
          <w:p>
            <w:r/>
            <w:r>
              <w:rPr>
                <w:b/>
                <w:color w:val="1B7F3B"/>
                <w:sz w:val="19"/>
              </w:rPr>
              <w:t>Cumplido</w:t>
            </w:r>
          </w:p>
        </w:tc>
      </w:tr>
      <w:tr>
        <w:tc>
          <w:tcPr>
            <w:tcW w:type="dxa" w:w="1587"/>
          </w:tcPr>
          <w:p>
            <w:r/>
            <w:r>
              <w:rPr>
                <w:b/>
                <w:sz w:val="19"/>
              </w:rPr>
              <w:t>RNF-17 — Volumen de datos de producción</w:t>
            </w:r>
          </w:p>
        </w:tc>
        <w:tc>
          <w:tcPr>
            <w:tcW w:type="dxa" w:w="3855"/>
          </w:tcPr>
          <w:p>
            <w:r/>
            <w:r>
              <w:rPr>
                <w:sz w:val="18"/>
              </w:rPr>
              <w:t>Las mediciones de rendimiento (RNF-09, RNF-12) se hicieron con datos de ambiente de pruebas (decenas de registros por tabla), no con el volumen real de Hamburgo S.A. ni de un cliente con varias plantas grandes.</w:t>
            </w:r>
          </w:p>
        </w:tc>
        <w:tc>
          <w:tcPr>
            <w:tcW w:type="dxa" w:w="3061"/>
          </w:tcPr>
          <w:p>
            <w:r/>
            <w:r>
              <w:rPr>
                <w:sz w:val="18"/>
              </w:rPr>
              <w:t>Prueba de carga con datos sintéticos a la escala declarada por el cliente (número de activos, órdenes por mes) antes de la puesta en marcha.</w:t>
            </w:r>
          </w:p>
        </w:tc>
        <w:tc>
          <w:tcPr>
            <w:tcW w:type="dxa" w:w="1134"/>
          </w:tcPr>
          <w:p>
            <w:r/>
            <w:r>
              <w:rPr>
                <w:b/>
                <w:color w:val="555555"/>
                <w:sz w:val="19"/>
              </w:rPr>
              <w:t>Pendiente — antes de la puesta en marcha con Hamburgo S.A.</w:t>
            </w:r>
          </w:p>
        </w:tc>
      </w:tr>
    </w:tbl>
    <w:p>
      <w:pPr>
        <w:spacing w:after="40"/>
      </w:pPr>
    </w:p>
    <w:p>
      <w:pPr>
        <w:pStyle w:val="Heading1"/>
      </w:pPr>
      <w:r>
        <w:t>5. Disponibilidad</w:t>
      </w:r>
    </w:p>
    <w:p>
      <w:pPr>
        <w:spacing w:after="120"/>
      </w:pPr>
      <w:r>
        <w:rPr>
          <w:b w:val="0"/>
          <w:i w:val="0"/>
          <w:sz w:val="22"/>
        </w:rPr>
        <w:t>La disponibilidad de SIGMA se apoya en que un error no deje el sistema en un estado a medias, y en que los errores queden registrados para poder diagnosticarlos sin depender de que alguien los haya visto en pantalla.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1587"/>
            <w:shd w:val="clear" w:color="auto" w:fill="E8E5F7"/>
          </w:tcPr>
          <w:p>
            <w:r/>
            <w:r>
              <w:rPr>
                <w:b/>
                <w:sz w:val="19"/>
              </w:rPr>
              <w:t>Requisito</w:t>
            </w:r>
          </w:p>
        </w:tc>
        <w:tc>
          <w:tcPr>
            <w:tcW w:type="dxa" w:w="3855"/>
            <w:shd w:val="clear" w:color="auto" w:fill="E8E5F7"/>
          </w:tcPr>
          <w:p>
            <w:r/>
            <w:r>
              <w:rPr>
                <w:b/>
                <w:sz w:val="19"/>
              </w:rPr>
              <w:t>Cómo se cumple hoy</w:t>
            </w:r>
          </w:p>
        </w:tc>
        <w:tc>
          <w:tcPr>
            <w:tcW w:type="dxa" w:w="3061"/>
            <w:shd w:val="clear" w:color="auto" w:fill="E8E5F7"/>
          </w:tcPr>
          <w:p>
            <w:r/>
            <w:r>
              <w:rPr>
                <w:b/>
                <w:sz w:val="19"/>
              </w:rPr>
              <w:t>Cómo se verifica</w:t>
            </w:r>
          </w:p>
        </w:tc>
        <w:tc>
          <w:tcPr>
            <w:tcW w:type="dxa" w:w="1134"/>
            <w:shd w:val="clear" w:color="auto" w:fill="E8E5F7"/>
          </w:tcPr>
          <w:p>
            <w:r/>
            <w:r>
              <w:rPr>
                <w:b/>
                <w:sz w:val="19"/>
              </w:rPr>
              <w:t>Estado</w:t>
            </w:r>
          </w:p>
        </w:tc>
      </w:tr>
      <w:tr>
        <w:tc>
          <w:tcPr>
            <w:tcW w:type="dxa" w:w="1587"/>
          </w:tcPr>
          <w:p>
            <w:r/>
            <w:r>
              <w:rPr>
                <w:b/>
                <w:sz w:val="19"/>
              </w:rPr>
              <w:t>RNF-18 — Las escrituras que tocan más de una tabla son transaccionales</w:t>
            </w:r>
          </w:p>
        </w:tc>
        <w:tc>
          <w:tcPr>
            <w:tcW w:type="dxa" w:w="3855"/>
          </w:tcPr>
          <w:p>
            <w:r/>
            <w:r>
              <w:rPr>
                <w:sz w:val="18"/>
              </w:rPr>
              <w:t>123 procedimientos de BD/ usan BEGIN TRANSACTION con SET XACT_ABORT ON; cualquier error dentro revierte todo el bloque. Reafirmado como criterio explícito de revisión de código en la Retrospectiva 3, a partir de un caso real: un ajuste de inventario que tocaba encabezado y detalle.</w:t>
            </w:r>
          </w:p>
        </w:tc>
        <w:tc>
          <w:tcPr>
            <w:tcW w:type="dxa" w:w="3061"/>
          </w:tcPr>
          <w:p>
            <w:r/>
            <w:r>
              <w:rPr>
                <w:sz w:val="18"/>
              </w:rPr>
              <w:t>Se fuerza un error a mitad de una transacción (por ejemplo, un detalle que viola una restricción) y se verifica que el encabezado tampoco quedó grabado.</w:t>
            </w:r>
          </w:p>
        </w:tc>
        <w:tc>
          <w:tcPr>
            <w:tcW w:type="dxa" w:w="1134"/>
          </w:tcPr>
          <w:p>
            <w:r/>
            <w:r>
              <w:rPr>
                <w:b/>
                <w:color w:val="1B7F3B"/>
                <w:sz w:val="19"/>
              </w:rPr>
              <w:t>Cumplido</w:t>
            </w:r>
          </w:p>
        </w:tc>
      </w:tr>
      <w:tr>
        <w:tc>
          <w:tcPr>
            <w:tcW w:type="dxa" w:w="1587"/>
          </w:tcPr>
          <w:p>
            <w:r/>
            <w:r>
              <w:rPr>
                <w:b/>
                <w:sz w:val="19"/>
              </w:rPr>
              <w:t>RNF-19 — Los errores no detenidos quedan registrados, no solo en pantalla</w:t>
            </w:r>
          </w:p>
        </w:tc>
        <w:tc>
          <w:tcPr>
            <w:tcW w:type="dxa" w:w="3855"/>
          </w:tcPr>
          <w:p>
            <w:r/>
            <w:r>
              <w:rPr>
                <w:sz w:val="18"/>
              </w:rPr>
              <w:t>INS_EXCEPCION se invoca desde 55 archivos de BD/ en los bloques CATCH; guarda el mensaje y el contexto de la llamada que falló, para poder diagnosticar un error que el usuario no supo describir.</w:t>
            </w:r>
          </w:p>
        </w:tc>
        <w:tc>
          <w:tcPr>
            <w:tcW w:type="dxa" w:w="3061"/>
          </w:tcPr>
          <w:p>
            <w:r/>
            <w:r>
              <w:rPr>
                <w:sz w:val="18"/>
              </w:rPr>
              <w:t>Se provoca un error de negocio (por ejemplo, una regla de unicidad) y se verifica que queda una fila nueva en el registro de excepciones con la hora y el procedimiento.</w:t>
            </w:r>
          </w:p>
        </w:tc>
        <w:tc>
          <w:tcPr>
            <w:tcW w:type="dxa" w:w="1134"/>
          </w:tcPr>
          <w:p>
            <w:r/>
            <w:r>
              <w:rPr>
                <w:b/>
                <w:color w:val="1B7F3B"/>
                <w:sz w:val="19"/>
              </w:rPr>
              <w:t>Cumplido</w:t>
            </w:r>
          </w:p>
        </w:tc>
      </w:tr>
      <w:tr>
        <w:tc>
          <w:tcPr>
            <w:tcW w:type="dxa" w:w="1587"/>
          </w:tcPr>
          <w:p>
            <w:r/>
            <w:r>
              <w:rPr>
                <w:b/>
                <w:sz w:val="19"/>
              </w:rPr>
              <w:t>RNF-20 — Un servicio externo no disponible no cae el sistema</w:t>
            </w:r>
          </w:p>
        </w:tc>
        <w:tc>
          <w:tcPr>
            <w:tcW w:type="dxa" w:w="3855"/>
          </w:tcPr>
          <w:p>
            <w:r/>
            <w:r>
              <w:rPr>
                <w:sz w:val="18"/>
              </w:rPr>
              <w:t>Acuerdo de la Retrospectiva 1: un criterio que depende de un servicio externo sin proveer (SMTP, almacenamiento de archivos, Google Maps, push) no bloquea la historia: la pantalla muestra el aviso correspondiente y sigue funcionando el resto. Ejemplo: el formulario de recuperar contraseña funciona completo; el correo no sale porque el SMTP no está configurado (HU-004), pero la pantalla no se cae.</w:t>
            </w:r>
          </w:p>
        </w:tc>
        <w:tc>
          <w:tcPr>
            <w:tcW w:type="dxa" w:w="3061"/>
          </w:tcPr>
          <w:p>
            <w:r/>
            <w:r>
              <w:rPr>
                <w:sz w:val="18"/>
              </w:rPr>
              <w:t>Con el servicio externo apagado o sin configurar, se ejercita la historia completa y se verifica que el resto de la pantalla sigue operando, con el aviso visible.</w:t>
            </w:r>
          </w:p>
        </w:tc>
        <w:tc>
          <w:tcPr>
            <w:tcW w:type="dxa" w:w="1134"/>
          </w:tcPr>
          <w:p>
            <w:r/>
            <w:r>
              <w:rPr>
                <w:b/>
                <w:color w:val="1B7F3B"/>
                <w:sz w:val="19"/>
              </w:rPr>
              <w:t>Cumplido</w:t>
            </w:r>
          </w:p>
        </w:tc>
      </w:tr>
      <w:tr>
        <w:tc>
          <w:tcPr>
            <w:tcW w:type="dxa" w:w="1587"/>
          </w:tcPr>
          <w:p>
            <w:r/>
            <w:r>
              <w:rPr>
                <w:b/>
                <w:sz w:val="19"/>
              </w:rPr>
              <w:t>RNF-21 — Trabajo sin conexión no se pierde (app)</w:t>
            </w:r>
          </w:p>
        </w:tc>
        <w:tc>
          <w:tcPr>
            <w:tcW w:type="dxa" w:w="3855"/>
          </w:tcPr>
          <w:p>
            <w:r/>
            <w:r>
              <w:rPr>
                <w:sz w:val="18"/>
              </w:rPr>
              <w:t>Diseñado para HU-151 (S6): guardar en SQLite local primero y encolar el envío, con reintento ante corte de red a medias sin duplicar (idempotencia por uuid, ya construida en varios endpoints de sincronización del lado servidor). No implementado todavía del lado de la app.</w:t>
            </w:r>
          </w:p>
        </w:tc>
        <w:tc>
          <w:tcPr>
            <w:tcW w:type="dxa" w:w="3061"/>
          </w:tcPr>
          <w:p>
            <w:r/>
            <w:r>
              <w:rPr>
                <w:sz w:val="18"/>
              </w:rPr>
              <w:t>Se ejecuta una historia completa con el dispositivo en modo avión y se sincroniza al volver la señal; se verifica que no hay registros duplicados ni perdidos.</w:t>
            </w:r>
          </w:p>
        </w:tc>
        <w:tc>
          <w:tcPr>
            <w:tcW w:type="dxa" w:w="1134"/>
          </w:tcPr>
          <w:p>
            <w:r/>
            <w:r>
              <w:rPr>
                <w:b/>
                <w:color w:val="555555"/>
                <w:sz w:val="19"/>
              </w:rPr>
              <w:t>Pendiente — Sprint 6</w:t>
            </w:r>
          </w:p>
        </w:tc>
      </w:tr>
      <w:tr>
        <w:tc>
          <w:tcPr>
            <w:tcW w:type="dxa" w:w="1587"/>
          </w:tcPr>
          <w:p>
            <w:r/>
            <w:r>
              <w:rPr>
                <w:b/>
                <w:sz w:val="19"/>
              </w:rPr>
              <w:t>RNF-22 — Copias de seguridad de la base de datos</w:t>
            </w:r>
          </w:p>
        </w:tc>
        <w:tc>
          <w:tcPr>
            <w:tcW w:type="dxa" w:w="3855"/>
          </w:tcPr>
          <w:p>
            <w:r/>
            <w:r>
              <w:rPr>
                <w:sz w:val="18"/>
              </w:rPr>
              <w:t>No hay una política de backup definida ni verificada todavía para el ambiente de pruebas ni para el de producción.</w:t>
            </w:r>
          </w:p>
        </w:tc>
        <w:tc>
          <w:tcPr>
            <w:tcW w:type="dxa" w:w="3061"/>
          </w:tcPr>
          <w:p>
            <w:r/>
            <w:r>
              <w:rPr>
                <w:sz w:val="18"/>
              </w:rPr>
              <w:t>Se definirá la frecuencia de respaldo con el hosting del cliente y se ejecutará una restauración de prueba antes de la puesta en marcha.</w:t>
            </w:r>
          </w:p>
        </w:tc>
        <w:tc>
          <w:tcPr>
            <w:tcW w:type="dxa" w:w="1134"/>
          </w:tcPr>
          <w:p>
            <w:r/>
            <w:r>
              <w:rPr>
                <w:b/>
                <w:color w:val="555555"/>
                <w:sz w:val="19"/>
              </w:rPr>
              <w:t>Pendiente — antes de la puesta en marcha con Hamburgo S.A.</w:t>
            </w:r>
          </w:p>
        </w:tc>
      </w:tr>
      <w:tr>
        <w:tc>
          <w:tcPr>
            <w:tcW w:type="dxa" w:w="1587"/>
          </w:tcPr>
          <w:p>
            <w:r/>
            <w:r>
              <w:rPr>
                <w:b/>
                <w:sz w:val="19"/>
              </w:rPr>
              <w:t>RNF-23 — Gestión de credenciales y secretos</w:t>
            </w:r>
          </w:p>
        </w:tc>
        <w:tc>
          <w:tcPr>
            <w:tcW w:type="dxa" w:w="3855"/>
          </w:tcPr>
          <w:p>
            <w:r/>
            <w:r>
              <w:rPr>
                <w:sz w:val="18"/>
              </w:rPr>
              <w:t>La cadena de conexión a SQL Server (usuario y contraseña del motor de base de datos) está en texto plano dentro de Web.config, igual que la clave de Crypto.encripta(). No hay bóveda de secretos (Key Vault, variables de entorno cifradas) ni rotación de credenciales.</w:t>
            </w:r>
          </w:p>
        </w:tc>
        <w:tc>
          <w:tcPr>
            <w:tcW w:type="dxa" w:w="3061"/>
          </w:tcPr>
          <w:p>
            <w:r/>
            <w:r>
              <w:rPr>
                <w:sz w:val="18"/>
              </w:rPr>
              <w:t>Revisión de configuración: ningún secreto debe quedar legible en un archivo versionado en git ni en texto plano en el servidor. Se mueve a variables de entorno o a un gestor de secretos antes de la puesta en marcha.</w:t>
            </w:r>
          </w:p>
        </w:tc>
        <w:tc>
          <w:tcPr>
            <w:tcW w:type="dxa" w:w="1134"/>
          </w:tcPr>
          <w:p>
            <w:r/>
            <w:r>
              <w:rPr>
                <w:b/>
                <w:color w:val="555555"/>
                <w:sz w:val="19"/>
              </w:rPr>
              <w:t>Pendiente — antes de la puesta en marcha con Hamburgo S.A.</w:t>
            </w:r>
          </w:p>
        </w:tc>
      </w:tr>
      <w:tr>
        <w:tc>
          <w:tcPr>
            <w:tcW w:type="dxa" w:w="1587"/>
          </w:tcPr>
          <w:p>
            <w:r/>
            <w:r>
              <w:rPr>
                <w:b/>
                <w:sz w:val="19"/>
              </w:rPr>
              <w:t>RNF-24 — Lo que la interfaz llama «cifrado» de identificadores</w:t>
            </w:r>
          </w:p>
        </w:tc>
        <w:tc>
          <w:tcPr>
            <w:tcW w:type="dxa" w:w="3855"/>
          </w:tcPr>
          <w:p>
            <w:r/>
            <w:r>
              <w:rPr>
                <w:sz w:val="18"/>
              </w:rPr>
              <w:t>El identificador que viaja en la URL de cada pantalla (?query=...) pasa por Tools.Crypto.Encrypt()/Decrypt(), usado en 80 archivos del proyecto. Es Base64, NO cifrado: cualquiera puede decodificarlo sin clave. No expone datos sensibles por sí solo porque la autorización real ocurre después, en el servidor (RNF-05), pero el nombre del método induce a creer que protege el dato, y no es así. Existe además en la librería un cifrado real con AES-256/Rijndael (Crypto.encripta/desencriptar), sin uso en ningún archivo del proyecto.</w:t>
            </w:r>
          </w:p>
        </w:tc>
        <w:tc>
          <w:tcPr>
            <w:tcW w:type="dxa" w:w="3061"/>
          </w:tcPr>
          <w:p>
            <w:r/>
            <w:r>
              <w:rPr>
                <w:sz w:val="18"/>
              </w:rPr>
              <w:t>Se revisa si el identificador necesita ocultarse de verdad (reemplazar Encrypt/Decrypt por el AES ya disponible en la misma librería) o si basta con que no sea secuencial, dejando explícito en el código que es ofuscación y no protección.</w:t>
            </w:r>
          </w:p>
        </w:tc>
        <w:tc>
          <w:tcPr>
            <w:tcW w:type="dxa" w:w="1134"/>
          </w:tcPr>
          <w:p>
            <w:r/>
            <w:r>
              <w:rPr>
                <w:b/>
                <w:color w:val="555555"/>
                <w:sz w:val="19"/>
              </w:rPr>
              <w:t>Pendiente — a decidir antes de la entrega final</w:t>
            </w:r>
          </w:p>
        </w:tc>
      </w:tr>
    </w:tbl>
    <w:p>
      <w:pPr>
        <w:spacing w:after="40"/>
      </w:pPr>
    </w:p>
    <w:p>
      <w:pPr>
        <w:pStyle w:val="Heading1"/>
      </w:pPr>
      <w:r>
        <w:t>6. Marco legal chileno e ISO/IEC 27001</w:t>
      </w:r>
    </w:p>
    <w:p>
      <w:pPr>
        <w:spacing w:after="120"/>
      </w:pPr>
      <w:r>
        <w:rPr>
          <w:b w:val="0"/>
          <w:i w:val="0"/>
          <w:sz w:val="22"/>
        </w:rPr>
        <w:t>SIGMA procesa datos personales de trabajadores (usuarios del cliente, técnicos) y opera sobre infraestructura industrial de Hamburgo S.A., así que además de los requisitos técnicos de las secciones 2 a 5, el proyecto se rige por la normativa chilena de datos personales y por los controles de un sistema de gestión de seguridad de la información (SGSI) basado en ISO/IEC 27001.</w:t>
      </w:r>
    </w:p>
    <w:p>
      <w:pPr>
        <w:pStyle w:val="Heading2"/>
      </w:pPr>
      <w:r>
        <w:t>6.1 Marco legal aplicable</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2721"/>
            <w:shd w:val="clear" w:color="auto" w:fill="E8E5F7"/>
          </w:tcPr>
          <w:p>
            <w:r/>
            <w:r>
              <w:rPr>
                <w:b/>
                <w:sz w:val="19"/>
              </w:rPr>
              <w:t>Norma</w:t>
            </w:r>
          </w:p>
        </w:tc>
        <w:tc>
          <w:tcPr>
            <w:tcW w:type="dxa" w:w="3515"/>
            <w:shd w:val="clear" w:color="auto" w:fill="E8E5F7"/>
          </w:tcPr>
          <w:p>
            <w:r/>
            <w:r>
              <w:rPr>
                <w:b/>
                <w:sz w:val="19"/>
              </w:rPr>
              <w:t>Qué exige</w:t>
            </w:r>
          </w:p>
        </w:tc>
        <w:tc>
          <w:tcPr>
            <w:tcW w:type="dxa" w:w="3969"/>
            <w:shd w:val="clear" w:color="auto" w:fill="E8E5F7"/>
          </w:tcPr>
          <w:p>
            <w:r/>
            <w:r>
              <w:rPr>
                <w:b/>
                <w:sz w:val="19"/>
              </w:rPr>
              <w:t>Cómo se aborda en SIGMA</w:t>
            </w:r>
          </w:p>
        </w:tc>
      </w:tr>
      <w:tr>
        <w:tc>
          <w:tcPr>
            <w:tcW w:type="dxa" w:w="2721"/>
          </w:tcPr>
          <w:p>
            <w:r/>
            <w:r>
              <w:rPr>
                <w:sz w:val="19"/>
              </w:rPr>
              <w:t>Ley N.º 21.719 (Protección de Datos Personales, Chile; reemplaza progresivamente a la Ley 19.628)</w:t>
            </w:r>
          </w:p>
        </w:tc>
        <w:tc>
          <w:tcPr>
            <w:tcW w:type="dxa" w:w="3515"/>
          </w:tcPr>
          <w:p>
            <w:r/>
            <w:r>
              <w:rPr>
                <w:sz w:val="19"/>
              </w:rPr>
              <w:t>Principios de licitud, finalidad, proporcionalidad y seguridad del dato; deber de informar brechas; derechos de la persona titular (acceso, rectificación, cancelación, oposición — ARCO+ y portabilidad).</w:t>
            </w:r>
          </w:p>
        </w:tc>
        <w:tc>
          <w:tcPr>
            <w:tcW w:type="dxa" w:w="3969"/>
          </w:tcPr>
          <w:p>
            <w:r/>
            <w:r>
              <w:rPr>
                <w:sz w:val="19"/>
              </w:rPr>
              <w:t>Los datos de usuarios se usan solo para operar el sistema del cliente que los emplea (finalidad); el acceso está acotado por permiso y por cliente (RNF-05, RNF-06). No existe todavía una pantalla de autogestión de datos personales (exportar o eliminar los propios datos) ni un procedimiento de notificación de brechas: quedan como pendientes de esta sección.</w:t>
            </w:r>
          </w:p>
        </w:tc>
      </w:tr>
      <w:tr>
        <w:tc>
          <w:tcPr>
            <w:tcW w:type="dxa" w:w="2721"/>
          </w:tcPr>
          <w:p>
            <w:r/>
            <w:r>
              <w:rPr>
                <w:sz w:val="19"/>
              </w:rPr>
              <w:t>Ley N.º 19.628 (Protección de la Vida Privada)</w:t>
            </w:r>
          </w:p>
        </w:tc>
        <w:tc>
          <w:tcPr>
            <w:tcW w:type="dxa" w:w="3515"/>
          </w:tcPr>
          <w:p>
            <w:r/>
            <w:r>
              <w:rPr>
                <w:sz w:val="19"/>
              </w:rPr>
              <w:t>Antecesora de la 21.719; sigue vigente en lo que la nueva ley no deroga durante su entrada en vigor escalonada.</w:t>
            </w:r>
          </w:p>
        </w:tc>
        <w:tc>
          <w:tcPr>
            <w:tcW w:type="dxa" w:w="3969"/>
          </w:tcPr>
          <w:p>
            <w:r/>
            <w:r>
              <w:rPr>
                <w:sz w:val="19"/>
              </w:rPr>
              <w:t>Mismas medidas de la fila anterior; se revisa con el cliente cuál de las dos normas rige cada dato según el calendario de entrada en vigor.</w:t>
            </w:r>
          </w:p>
        </w:tc>
      </w:tr>
      <w:tr>
        <w:tc>
          <w:tcPr>
            <w:tcW w:type="dxa" w:w="2721"/>
          </w:tcPr>
          <w:p>
            <w:r/>
            <w:r>
              <w:rPr>
                <w:sz w:val="19"/>
              </w:rPr>
              <w:t>Ley N.º 21.459 (Delitos Informáticos, Chile)</w:t>
            </w:r>
          </w:p>
        </w:tc>
        <w:tc>
          <w:tcPr>
            <w:tcW w:type="dxa" w:w="3515"/>
          </w:tcPr>
          <w:p>
            <w:r/>
            <w:r>
              <w:rPr>
                <w:sz w:val="19"/>
              </w:rPr>
              <w:t>Tipifica el acceso indebido, la interceptación y el sabotaje informático; exige poder acreditar accesos y evitar dejar el sistema vulnerable a un acceso no autorizado.</w:t>
            </w:r>
          </w:p>
        </w:tc>
        <w:tc>
          <w:tcPr>
            <w:tcW w:type="dxa" w:w="3969"/>
          </w:tcPr>
          <w:p>
            <w:r/>
            <w:r>
              <w:rPr>
                <w:sz w:val="19"/>
              </w:rPr>
              <w:t>El registro de excepciones (RNF-19) y la autenticación con bloqueo por intentos (RNF-02) dan parte de la trazabilidad; no hay todavía un registro de auditoría de accesos exitosos (quién entró, cuándo, desde dónde), solo de errores. Pendiente.</w:t>
            </w:r>
          </w:p>
        </w:tc>
      </w:tr>
    </w:tbl>
    <w:p>
      <w:pPr>
        <w:spacing w:after="40"/>
      </w:pPr>
    </w:p>
    <w:p>
      <w:pPr>
        <w:pStyle w:val="Heading2"/>
      </w:pPr>
      <w:r>
        <w:t>6.2 Controles ISO/IEC 27001:2022 (Anexo A) con evidencia</w:t>
      </w:r>
    </w:p>
    <w:p>
      <w:pPr>
        <w:spacing w:after="120"/>
      </w:pPr>
      <w:r>
        <w:rPr>
          <w:b w:val="0"/>
          <w:i w:val="0"/>
          <w:sz w:val="22"/>
        </w:rPr>
        <w:t>SIGMA no está certificado ISO/IEC 27001 — es un proyecto académico con un cliente piloto, no una organización certificable por sí sola—, pero el equipo diseña y construye el sistema alineado a los controles del Anexo A que le corresponden como desarrollador de software. La tabla cita el control real y dónde vive su evidencia en el proyecto; no se marca un control como cumplido si no hay archivo, SP o acuerdo que lo respalde.</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1701"/>
            <w:shd w:val="clear" w:color="auto" w:fill="E8E5F7"/>
          </w:tcPr>
          <w:p>
            <w:r/>
            <w:r>
              <w:rPr>
                <w:b/>
                <w:sz w:val="19"/>
              </w:rPr>
              <w:t>Requisito</w:t>
            </w:r>
          </w:p>
        </w:tc>
        <w:tc>
          <w:tcPr>
            <w:tcW w:type="dxa" w:w="3742"/>
            <w:shd w:val="clear" w:color="auto" w:fill="E8E5F7"/>
          </w:tcPr>
          <w:p>
            <w:r/>
            <w:r>
              <w:rPr>
                <w:b/>
                <w:sz w:val="19"/>
              </w:rPr>
              <w:t>Cómo se cumple hoy</w:t>
            </w:r>
          </w:p>
        </w:tc>
        <w:tc>
          <w:tcPr>
            <w:tcW w:type="dxa" w:w="2948"/>
            <w:shd w:val="clear" w:color="auto" w:fill="E8E5F7"/>
          </w:tcPr>
          <w:p>
            <w:r/>
            <w:r>
              <w:rPr>
                <w:b/>
                <w:sz w:val="19"/>
              </w:rPr>
              <w:t>Cómo se verifica</w:t>
            </w:r>
          </w:p>
        </w:tc>
        <w:tc>
          <w:tcPr>
            <w:tcW w:type="dxa" w:w="1247"/>
            <w:shd w:val="clear" w:color="auto" w:fill="E8E5F7"/>
          </w:tcPr>
          <w:p>
            <w:r/>
            <w:r>
              <w:rPr>
                <w:b/>
                <w:sz w:val="19"/>
              </w:rPr>
              <w:t>Estado</w:t>
            </w:r>
          </w:p>
        </w:tc>
      </w:tr>
      <w:tr>
        <w:tc>
          <w:tcPr>
            <w:tcW w:type="dxa" w:w="1701"/>
          </w:tcPr>
          <w:p>
            <w:r/>
            <w:r>
              <w:rPr>
                <w:b/>
                <w:sz w:val="19"/>
              </w:rPr>
              <w:t>A.5.15 — Control de acceso</w:t>
            </w:r>
          </w:p>
        </w:tc>
        <w:tc>
          <w:tcPr>
            <w:tcW w:type="dxa" w:w="3742"/>
          </w:tcPr>
          <w:p>
            <w:r/>
            <w:r>
              <w:rPr>
                <w:sz w:val="18"/>
              </w:rPr>
              <w:t>Permisos por dato (Token.Puede / [ExigirPermiso]) y por pantalla (fila en Menus); ninguna ruta se protege solo ocultando un botón (RNF-05).</w:t>
            </w:r>
          </w:p>
        </w:tc>
        <w:tc>
          <w:tcPr>
            <w:tcW w:type="dxa" w:w="2948"/>
          </w:tcPr>
          <w:p>
            <w:r/>
            <w:r>
              <w:rPr>
                <w:sz w:val="18"/>
              </w:rPr>
              <w:t>Mismo método que RNF-05: invocar el recurso sin el permiso y verificar el rechazo del servidor.</w:t>
            </w:r>
          </w:p>
        </w:tc>
        <w:tc>
          <w:tcPr>
            <w:tcW w:type="dxa" w:w="1247"/>
          </w:tcPr>
          <w:p>
            <w:r/>
            <w:r>
              <w:rPr>
                <w:b/>
                <w:color w:val="1B7F3B"/>
                <w:sz w:val="19"/>
              </w:rPr>
              <w:t>Cumplido</w:t>
            </w:r>
          </w:p>
        </w:tc>
      </w:tr>
      <w:tr>
        <w:tc>
          <w:tcPr>
            <w:tcW w:type="dxa" w:w="1701"/>
          </w:tcPr>
          <w:p>
            <w:r/>
            <w:r>
              <w:rPr>
                <w:b/>
                <w:sz w:val="19"/>
              </w:rPr>
              <w:t>A.5.18 — Derechos de acceso</w:t>
            </w:r>
          </w:p>
        </w:tc>
        <w:tc>
          <w:tcPr>
            <w:tcW w:type="dxa" w:w="3742"/>
          </w:tcPr>
          <w:p>
            <w:r/>
            <w:r>
              <w:rPr>
                <w:sz w:val="18"/>
              </w:rPr>
              <w:t>Los permisos se asignan por perfil (HU-015) y se pueden otorgar de forma puntual a un usuario con vigencia (HU-007); no hay cuentas con acceso total por defecto.</w:t>
            </w:r>
          </w:p>
        </w:tc>
        <w:tc>
          <w:tcPr>
            <w:tcW w:type="dxa" w:w="2948"/>
          </w:tcPr>
          <w:p>
            <w:r/>
            <w:r>
              <w:rPr>
                <w:sz w:val="18"/>
              </w:rPr>
              <w:t>Revisión de la matriz de permisos por perfil contra lo que cada rol necesita en Hamburgo S.A.</w:t>
            </w:r>
          </w:p>
        </w:tc>
        <w:tc>
          <w:tcPr>
            <w:tcW w:type="dxa" w:w="1247"/>
          </w:tcPr>
          <w:p>
            <w:r/>
            <w:r>
              <w:rPr>
                <w:b/>
                <w:color w:val="1B7F3B"/>
                <w:sz w:val="19"/>
              </w:rPr>
              <w:t>Cumplido</w:t>
            </w:r>
          </w:p>
        </w:tc>
      </w:tr>
      <w:tr>
        <w:tc>
          <w:tcPr>
            <w:tcW w:type="dxa" w:w="1701"/>
          </w:tcPr>
          <w:p>
            <w:r/>
            <w:r>
              <w:rPr>
                <w:b/>
                <w:sz w:val="19"/>
              </w:rPr>
              <w:t>A.8.5 — Autenticación segura</w:t>
            </w:r>
          </w:p>
        </w:tc>
        <w:tc>
          <w:tcPr>
            <w:tcW w:type="dxa" w:w="3742"/>
          </w:tcPr>
          <w:p>
            <w:r/>
            <w:r>
              <w:rPr>
                <w:sz w:val="18"/>
              </w:rPr>
              <w:t>Hash con sal, bloqueo por intentos, contraseña mínima y distinta de las 3 anteriores (RNF-01, RNF-02, RNF-03); token JWT con expiración validada antes de enrutar (RNF-04).</w:t>
            </w:r>
          </w:p>
        </w:tc>
        <w:tc>
          <w:tcPr>
            <w:tcW w:type="dxa" w:w="2948"/>
          </w:tcPr>
          <w:p>
            <w:r/>
            <w:r>
              <w:rPr>
                <w:sz w:val="18"/>
              </w:rPr>
              <w:t>Casos de aceptación de HU-001, HU-004 y HU-005; ver RNF-01 a RNF-04.</w:t>
            </w:r>
          </w:p>
        </w:tc>
        <w:tc>
          <w:tcPr>
            <w:tcW w:type="dxa" w:w="1247"/>
          </w:tcPr>
          <w:p>
            <w:r/>
            <w:r>
              <w:rPr>
                <w:b/>
                <w:color w:val="1B7F3B"/>
                <w:sz w:val="19"/>
              </w:rPr>
              <w:t>Cumplido</w:t>
            </w:r>
          </w:p>
        </w:tc>
      </w:tr>
      <w:tr>
        <w:tc>
          <w:tcPr>
            <w:tcW w:type="dxa" w:w="1701"/>
          </w:tcPr>
          <w:p>
            <w:r/>
            <w:r>
              <w:rPr>
                <w:b/>
                <w:sz w:val="19"/>
              </w:rPr>
              <w:t>A.8.24 — Uso de criptografía</w:t>
            </w:r>
          </w:p>
        </w:tc>
        <w:tc>
          <w:tcPr>
            <w:tcW w:type="dxa" w:w="3742"/>
          </w:tcPr>
          <w:p>
            <w:r/>
            <w:r>
              <w:rPr>
                <w:sz w:val="18"/>
              </w:rPr>
              <w:t>La contraseña se guarda con hash (no es reversible); la conexión a SQL Server va con Encrypt=True (TLS). Lo que la interfaz llama «cifrado» de identificadores (Crypto.Encrypt/Decrypt) es en realidad Base64, no criptografía (RNF-24): es la brecha más visible de este control.</w:t>
            </w:r>
          </w:p>
        </w:tc>
        <w:tc>
          <w:tcPr>
            <w:tcW w:type="dxa" w:w="2948"/>
          </w:tcPr>
          <w:p>
            <w:r/>
            <w:r>
              <w:rPr>
                <w:sz w:val="18"/>
              </w:rPr>
              <w:t>Inspección de Web.config (Encrypt=True) y de Crypto.cs; decisión pendiente sobre RNF-24.</w:t>
            </w:r>
          </w:p>
        </w:tc>
        <w:tc>
          <w:tcPr>
            <w:tcW w:type="dxa" w:w="1247"/>
          </w:tcPr>
          <w:p>
            <w:r/>
            <w:r>
              <w:rPr>
                <w:b/>
                <w:color w:val="9A6A00"/>
                <w:sz w:val="19"/>
              </w:rPr>
              <w:t>Parcial</w:t>
            </w:r>
          </w:p>
        </w:tc>
      </w:tr>
      <w:tr>
        <w:tc>
          <w:tcPr>
            <w:tcW w:type="dxa" w:w="1701"/>
          </w:tcPr>
          <w:p>
            <w:r/>
            <w:r>
              <w:rPr>
                <w:b/>
                <w:sz w:val="19"/>
              </w:rPr>
              <w:t>A.8.15 — Registro de eventos (logging)</w:t>
            </w:r>
          </w:p>
        </w:tc>
        <w:tc>
          <w:tcPr>
            <w:tcW w:type="dxa" w:w="3742"/>
          </w:tcPr>
          <w:p>
            <w:r/>
            <w:r>
              <w:rPr>
                <w:sz w:val="18"/>
              </w:rPr>
              <w:t>INS_EXCEPCION registra los errores no controlados desde 55 archivos de BD/, con el contexto de la llamada (RNF-19). Todas las tablas de negocio llevan *_usuario_creacion, *_fecha_creacion, *_usuario_actualizacion y *_fecha_actualizacion (más de 2.500 columnas de auditoría en el modelo), así que todo alta y edición queda con quién y cuándo.</w:t>
            </w:r>
          </w:p>
        </w:tc>
        <w:tc>
          <w:tcPr>
            <w:tcW w:type="dxa" w:w="2948"/>
          </w:tcPr>
          <w:p>
            <w:r/>
            <w:r>
              <w:rPr>
                <w:sz w:val="18"/>
              </w:rPr>
              <w:t>Se provoca un error y se busca su fila en el registro de excepciones (ver RNF-19); se edita un registro cualquiera y se verifica que su columna de auditoría cambió.</w:t>
            </w:r>
          </w:p>
        </w:tc>
        <w:tc>
          <w:tcPr>
            <w:tcW w:type="dxa" w:w="1247"/>
          </w:tcPr>
          <w:p>
            <w:r/>
            <w:r>
              <w:rPr>
                <w:b/>
                <w:color w:val="1B7F3B"/>
                <w:sz w:val="19"/>
              </w:rPr>
              <w:t>Cumplido</w:t>
            </w:r>
          </w:p>
        </w:tc>
      </w:tr>
      <w:tr>
        <w:tc>
          <w:tcPr>
            <w:tcW w:type="dxa" w:w="1701"/>
          </w:tcPr>
          <w:p>
            <w:r/>
            <w:r>
              <w:rPr>
                <w:b/>
                <w:sz w:val="19"/>
              </w:rPr>
              <w:t>A.8.16 — Actividades de monitoreo</w:t>
            </w:r>
          </w:p>
        </w:tc>
        <w:tc>
          <w:tcPr>
            <w:tcW w:type="dxa" w:w="3742"/>
          </w:tcPr>
          <w:p>
            <w:r/>
            <w:r>
              <w:rPr>
                <w:sz w:val="18"/>
              </w:rPr>
              <w:t>No hay un sistema de monitoreo activo (alertas ante accesos anómalos, picos de error) ni un registro de accesos EXITOSOS a la sesión, solo de los fallidos y de las excepciones.</w:t>
            </w:r>
          </w:p>
        </w:tc>
        <w:tc>
          <w:tcPr>
            <w:tcW w:type="dxa" w:w="2948"/>
          </w:tcPr>
          <w:p>
            <w:r/>
            <w:r>
              <w:rPr>
                <w:sz w:val="18"/>
              </w:rPr>
              <w:t>Se definirá qué eventos se monitorean (logins exitosos, cambios de permiso) y con qué herramienta, antes de la puesta en marcha.</w:t>
            </w:r>
          </w:p>
        </w:tc>
        <w:tc>
          <w:tcPr>
            <w:tcW w:type="dxa" w:w="1247"/>
          </w:tcPr>
          <w:p>
            <w:r/>
            <w:r>
              <w:rPr>
                <w:b/>
                <w:color w:val="555555"/>
                <w:sz w:val="19"/>
              </w:rPr>
              <w:t>Pendiente — antes de la puesta en marcha con Hamburgo S.A.</w:t>
            </w:r>
          </w:p>
        </w:tc>
      </w:tr>
      <w:tr>
        <w:tc>
          <w:tcPr>
            <w:tcW w:type="dxa" w:w="1701"/>
          </w:tcPr>
          <w:p>
            <w:r/>
            <w:r>
              <w:rPr>
                <w:b/>
                <w:sz w:val="19"/>
              </w:rPr>
              <w:t>A.5.33 — Protección de los registros</w:t>
            </w:r>
          </w:p>
        </w:tc>
        <w:tc>
          <w:tcPr>
            <w:tcW w:type="dxa" w:w="3742"/>
          </w:tcPr>
          <w:p>
            <w:r/>
            <w:r>
              <w:rPr>
                <w:sz w:val="18"/>
              </w:rPr>
              <w:t>Baja lógica (columna *_habilitado) en vez de DELETE físico en todas las tablas maestras del proyecto (54 reglas de negocio la exigen explícitamente): un registro dado de baja sigue existiendo para la auditoría y el historial, y no se puede borrar si tiene dependientes.</w:t>
            </w:r>
          </w:p>
        </w:tc>
        <w:tc>
          <w:tcPr>
            <w:tcW w:type="dxa" w:w="2948"/>
          </w:tcPr>
          <w:p>
            <w:r/>
            <w:r>
              <w:rPr>
                <w:sz w:val="18"/>
              </w:rPr>
              <w:t>Se intenta dar de baja un registro con dependientes (por ejemplo, un repuesto con movimientos) y se verifica el rechazo con mensaje, en vez de un borrado silencioso.</w:t>
            </w:r>
          </w:p>
        </w:tc>
        <w:tc>
          <w:tcPr>
            <w:tcW w:type="dxa" w:w="1247"/>
          </w:tcPr>
          <w:p>
            <w:r/>
            <w:r>
              <w:rPr>
                <w:b/>
                <w:color w:val="1B7F3B"/>
                <w:sz w:val="19"/>
              </w:rPr>
              <w:t>Cumplido</w:t>
            </w:r>
          </w:p>
        </w:tc>
      </w:tr>
      <w:tr>
        <w:tc>
          <w:tcPr>
            <w:tcW w:type="dxa" w:w="1701"/>
          </w:tcPr>
          <w:p>
            <w:r/>
            <w:r>
              <w:rPr>
                <w:b/>
                <w:sz w:val="19"/>
              </w:rPr>
              <w:t>A.5.34 — Privacidad y protección de datos personales</w:t>
            </w:r>
          </w:p>
        </w:tc>
        <w:tc>
          <w:tcPr>
            <w:tcW w:type="dxa" w:w="3742"/>
          </w:tcPr>
          <w:p>
            <w:r/>
            <w:r>
              <w:rPr>
                <w:sz w:val="18"/>
              </w:rPr>
              <w:t>No existe todavía una pantalla ni un procedimiento para que una persona ejerza sus derechos sobre sus propios datos (exportar, rectificar más allá de su propio perfil, solicitar eliminación) más allá de editar su perfil (HU-005). Tampoco hay un procedimiento documentado de respuesta ante una brecha de datos.</w:t>
            </w:r>
          </w:p>
        </w:tc>
        <w:tc>
          <w:tcPr>
            <w:tcW w:type="dxa" w:w="2948"/>
          </w:tcPr>
          <w:p>
            <w:r/>
            <w:r>
              <w:rPr>
                <w:sz w:val="18"/>
              </w:rPr>
              <w:t>Se define con la Product Owner y el cliente qué derechos se habilitan en la interfaz y el procedimiento de notificación de incidentes, conforme a la Ley 21.719.</w:t>
            </w:r>
          </w:p>
        </w:tc>
        <w:tc>
          <w:tcPr>
            <w:tcW w:type="dxa" w:w="1247"/>
          </w:tcPr>
          <w:p>
            <w:r/>
            <w:r>
              <w:rPr>
                <w:b/>
                <w:color w:val="555555"/>
                <w:sz w:val="19"/>
              </w:rPr>
              <w:t>Pendiente — antes de la entrega final</w:t>
            </w:r>
          </w:p>
        </w:tc>
      </w:tr>
    </w:tbl>
    <w:p>
      <w:pPr>
        <w:spacing w:after="40"/>
      </w:pPr>
    </w:p>
    <w:p>
      <w:pPr>
        <w:spacing w:after="120"/>
      </w:pPr>
      <w:r>
        <w:rPr>
          <w:b w:val="0"/>
          <w:i/>
          <w:sz w:val="21"/>
        </w:rPr>
        <w:t>Los controles marcados Pendiente en esta sección se priorizan junto con la Product Owner antes de la entrega final: ninguno bloquea el incremento actual, pero sí la puesta en marcha con datos reales de personas.</w:t>
      </w:r>
    </w:p>
    <w:p>
      <w:pPr>
        <w:pStyle w:val="Heading1"/>
      </w:pPr>
      <w:r>
        <w:t>7. Resumen por estado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701"/>
            <w:shd w:val="clear" w:color="auto" w:fill="E8E5F7"/>
          </w:tcPr>
          <w:p>
            <w:r/>
            <w:r>
              <w:rPr>
                <w:b/>
                <w:sz w:val="19"/>
              </w:rPr>
              <w:t>Estado</w:t>
            </w:r>
          </w:p>
        </w:tc>
        <w:tc>
          <w:tcPr>
            <w:tcW w:type="dxa" w:w="1701"/>
            <w:shd w:val="clear" w:color="auto" w:fill="E8E5F7"/>
          </w:tcPr>
          <w:p>
            <w:r/>
            <w:r>
              <w:rPr>
                <w:b/>
                <w:sz w:val="19"/>
              </w:rPr>
              <w:t>Cantidad de RNF-xx</w:t>
            </w:r>
          </w:p>
        </w:tc>
        <w:tc>
          <w:tcPr>
            <w:tcW w:type="dxa" w:w="6236"/>
            <w:shd w:val="clear" w:color="auto" w:fill="E8E5F7"/>
          </w:tcPr>
          <w:p>
            <w:r/>
            <w:r>
              <w:rPr>
                <w:b/>
                <w:sz w:val="19"/>
              </w:rPr>
              <w:t>Qué significa para la entrega</w:t>
            </w:r>
          </w:p>
        </w:tc>
      </w:tr>
      <w:tr>
        <w:tc>
          <w:tcPr>
            <w:tcW w:type="dxa" w:w="1701"/>
          </w:tcPr>
          <w:p>
            <w:r/>
            <w:r>
              <w:rPr>
                <w:sz w:val="19"/>
              </w:rPr>
              <w:t>Cumplido</w:t>
            </w:r>
          </w:p>
        </w:tc>
        <w:tc>
          <w:tcPr>
            <w:tcW w:type="dxa" w:w="1701"/>
          </w:tcPr>
          <w:p>
            <w:r/>
            <w:r>
              <w:rPr>
                <w:sz w:val="19"/>
              </w:rPr>
              <w:t>16</w:t>
            </w:r>
          </w:p>
        </w:tc>
        <w:tc>
          <w:tcPr>
            <w:tcW w:type="dxa" w:w="6236"/>
          </w:tcPr>
          <w:p>
            <w:r/>
            <w:r>
              <w:rPr>
                <w:sz w:val="19"/>
              </w:rPr>
              <w:t>Implementado y verificable hoy en el código y la base.</w:t>
            </w:r>
          </w:p>
        </w:tc>
      </w:tr>
      <w:tr>
        <w:tc>
          <w:tcPr>
            <w:tcW w:type="dxa" w:w="1701"/>
          </w:tcPr>
          <w:p>
            <w:r/>
            <w:r>
              <w:rPr>
                <w:sz w:val="19"/>
              </w:rPr>
              <w:t>Parcial</w:t>
            </w:r>
          </w:p>
        </w:tc>
        <w:tc>
          <w:tcPr>
            <w:tcW w:type="dxa" w:w="1701"/>
          </w:tcPr>
          <w:p>
            <w:r/>
            <w:r>
              <w:rPr>
                <w:sz w:val="19"/>
              </w:rPr>
              <w:t>1</w:t>
            </w:r>
          </w:p>
        </w:tc>
        <w:tc>
          <w:tcPr>
            <w:tcW w:type="dxa" w:w="6236"/>
          </w:tcPr>
          <w:p>
            <w:r/>
            <w:r>
              <w:rPr>
                <w:sz w:val="19"/>
              </w:rPr>
              <w:t>El patrón está definido; falta extenderlo a pantallas antiguas.</w:t>
            </w:r>
          </w:p>
        </w:tc>
      </w:tr>
      <w:tr>
        <w:tc>
          <w:tcPr>
            <w:tcW w:type="dxa" w:w="1701"/>
          </w:tcPr>
          <w:p>
            <w:r/>
            <w:r>
              <w:rPr>
                <w:sz w:val="19"/>
              </w:rPr>
              <w:t>Pendiente</w:t>
            </w:r>
          </w:p>
        </w:tc>
        <w:tc>
          <w:tcPr>
            <w:tcW w:type="dxa" w:w="1701"/>
          </w:tcPr>
          <w:p>
            <w:r/>
            <w:r>
              <w:rPr>
                <w:sz w:val="19"/>
              </w:rPr>
              <w:t>7</w:t>
            </w:r>
          </w:p>
        </w:tc>
        <w:tc>
          <w:tcPr>
            <w:tcW w:type="dxa" w:w="6236"/>
          </w:tcPr>
          <w:p>
            <w:r/>
            <w:r>
              <w:rPr>
                <w:sz w:val="19"/>
              </w:rPr>
              <w:t>Infraestructura externa del Sprint 6 (HTTPS, sincronización), datos de producción que todavía no existen (carga, backup), o gestión de secretos y privacidad personal (sección 6, RNF-23 y RNF-24).</w:t>
            </w:r>
          </w:p>
        </w:tc>
      </w:tr>
    </w:tbl>
    <w:p>
      <w:pPr>
        <w:spacing w:after="40"/>
      </w:pPr>
    </w:p>
    <w:p>
      <w:pPr>
        <w:spacing w:after="120"/>
      </w:pPr>
      <w:r>
        <w:rPr>
          <w:b w:val="0"/>
          <w:i w:val="0"/>
          <w:sz w:val="21"/>
        </w:rPr>
        <w:t>Los 7 pendientes y el control parcial se revisan al cerrar cada Sprint en el MD de estado (sección «Entregables de la Fase 2»); ninguno bloquea el incremento actual porque todos tienen su mitigación (aviso en pantalla, Sprint declarado) registrada en el requisito correspondiente. La tabla de controles ISO/IEC 27001 de la sección 6.2 es una vista cruzada sobre los mismos RNF —no suma requisitos nuevos— y no se cuenta aparte en este resumen.</w:t>
      </w:r>
    </w:p>
    <w:p>
      <w:pPr>
        <w:pStyle w:val="Heading1"/>
      </w:pPr>
      <w:r>
        <w:t>8. Responsables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701"/>
            <w:shd w:val="clear" w:color="auto" w:fill="E8E5F7"/>
          </w:tcPr>
          <w:p>
            <w:r/>
            <w:r>
              <w:rPr>
                <w:b/>
                <w:sz w:val="19"/>
              </w:rPr>
              <w:t>Rol</w:t>
            </w:r>
          </w:p>
        </w:tc>
        <w:tc>
          <w:tcPr>
            <w:tcW w:type="dxa" w:w="2268"/>
            <w:shd w:val="clear" w:color="auto" w:fill="E8E5F7"/>
          </w:tcPr>
          <w:p>
            <w:r/>
            <w:r>
              <w:rPr>
                <w:b/>
                <w:sz w:val="19"/>
              </w:rPr>
              <w:t>Nombre</w:t>
            </w:r>
          </w:p>
        </w:tc>
        <w:tc>
          <w:tcPr>
            <w:tcW w:type="dxa" w:w="5669"/>
            <w:shd w:val="clear" w:color="auto" w:fill="E8E5F7"/>
          </w:tcPr>
          <w:p>
            <w:r/>
            <w:r>
              <w:rPr>
                <w:b/>
                <w:sz w:val="19"/>
              </w:rPr>
              <w:t>Responsabilidad sobre los RNF</w:t>
            </w:r>
          </w:p>
        </w:tc>
      </w:tr>
      <w:tr>
        <w:tc>
          <w:tcPr>
            <w:tcW w:type="dxa" w:w="1701"/>
          </w:tcPr>
          <w:p>
            <w:r/>
            <w:r>
              <w:rPr>
                <w:sz w:val="19"/>
              </w:rPr>
              <w:t>Developer</w:t>
            </w:r>
          </w:p>
        </w:tc>
        <w:tc>
          <w:tcPr>
            <w:tcW w:type="dxa" w:w="2268"/>
          </w:tcPr>
          <w:p>
            <w:r/>
            <w:r>
              <w:rPr>
                <w:sz w:val="19"/>
              </w:rPr>
              <w:t>Bryan Chávez</w:t>
            </w:r>
          </w:p>
        </w:tc>
        <w:tc>
          <w:tcPr>
            <w:tcW w:type="dxa" w:w="5669"/>
          </w:tcPr>
          <w:p>
            <w:r/>
            <w:r>
              <w:rPr>
                <w:sz w:val="19"/>
              </w:rPr>
              <w:t>Implementa y mantiene la evidencia de cada requisito; actualiza este documento al cerrar cada Sprint.</w:t>
            </w:r>
          </w:p>
        </w:tc>
      </w:tr>
      <w:tr>
        <w:tc>
          <w:tcPr>
            <w:tcW w:type="dxa" w:w="1701"/>
          </w:tcPr>
          <w:p>
            <w:r/>
            <w:r>
              <w:rPr>
                <w:sz w:val="19"/>
              </w:rPr>
              <w:t>Scrum Master</w:t>
            </w:r>
          </w:p>
        </w:tc>
        <w:tc>
          <w:tcPr>
            <w:tcW w:type="dxa" w:w="2268"/>
          </w:tcPr>
          <w:p>
            <w:r/>
            <w:r>
              <w:rPr>
                <w:sz w:val="19"/>
              </w:rPr>
              <w:t>Emilio Fuentes</w:t>
            </w:r>
          </w:p>
        </w:tc>
        <w:tc>
          <w:tcPr>
            <w:tcW w:type="dxa" w:w="5669"/>
          </w:tcPr>
          <w:p>
            <w:r/>
            <w:r>
              <w:rPr>
                <w:sz w:val="19"/>
              </w:rPr>
              <w:t>Verifica que los requisitos pendientes queden con su Sprint declarado y los lleva a la Retrospectiva si se repiten como impedimento.</w:t>
            </w:r>
          </w:p>
        </w:tc>
      </w:tr>
      <w:tr>
        <w:tc>
          <w:tcPr>
            <w:tcW w:type="dxa" w:w="1701"/>
          </w:tcPr>
          <w:p>
            <w:r/>
            <w:r>
              <w:rPr>
                <w:sz w:val="19"/>
              </w:rPr>
              <w:t>Product Owner</w:t>
            </w:r>
          </w:p>
        </w:tc>
        <w:tc>
          <w:tcPr>
            <w:tcW w:type="dxa" w:w="2268"/>
          </w:tcPr>
          <w:p>
            <w:r/>
            <w:r>
              <w:rPr>
                <w:sz w:val="19"/>
              </w:rPr>
              <w:t>Catalina Pescio</w:t>
            </w:r>
          </w:p>
        </w:tc>
        <w:tc>
          <w:tcPr>
            <w:tcW w:type="dxa" w:w="5669"/>
          </w:tcPr>
          <w:p>
            <w:r/>
            <w:r>
              <w:rPr>
                <w:sz w:val="19"/>
              </w:rPr>
              <w:t>Prioriza, junto con el cliente, qué pendientes se resuelven antes de la puesta en marcha.</w:t>
            </w:r>
          </w:p>
        </w:tc>
      </w:tr>
    </w:tbl>
    <w:p>
      <w:pPr>
        <w:spacing w:after="4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4F46E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46E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46E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